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B · ARCHITECTURE &amp; BUILD</w:t>
      </w:r>
    </w:p>
    <w:p>
      <w:pPr>
        <w:pStyle w:val="Title"/>
        <w:pBdr>
          <w:bottom w:val="single" w:sz="20" w:space="6" w:color="B98A2E"/>
        </w:pBdr>
      </w:pPr>
      <w:r>
        <w:t>Identity &amp; Access (IAM / Auth) Specification</w:t>
      </w:r>
    </w:p>
    <w:p>
      <w:pPr>
        <w:spacing w:after="280"/>
      </w:pPr>
      <w:r>
        <w:rPr>
          <w:i/>
          <w:color w:val="5A6B7B"/>
          <w:sz w:val="25"/>
        </w:rPr>
        <w:t>How users prove who they are and what they may do — OIDC/OAuth2 flows, token and session lifecycle, MFA and step-up, and the RBAC + ABAC policy model that enforces tenant, case and confidentiality-tier boundaries.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EQR-22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Identity &amp; Access (IAM / Auth) Specification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Security Architect / Back-end Lead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EQR-01 §9 · EQR-14 (security) · EQR-18 (API auth) · EQR-06 (enterprise SSO)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Identity Model</w:t>
      </w:r>
    </w:p>
    <w:p>
      <w:pPr>
        <w:pStyle w:val="ListBullet"/>
      </w:pPr>
      <w:r>
        <w:rPr>
          <w:b/>
        </w:rPr>
        <w:t xml:space="preserve">Subjects: </w:t>
      </w:r>
      <w:r>
        <w:t>Human users (parties, counsel, neutrals, staff) and machine clients (enterprise/API, bulk lenders).</w:t>
      </w:r>
    </w:p>
    <w:p>
      <w:pPr>
        <w:pStyle w:val="ListBullet"/>
      </w:pPr>
      <w:r>
        <w:rPr>
          <w:b/>
        </w:rPr>
        <w:t xml:space="preserve">Accounts: </w:t>
      </w:r>
      <w:r>
        <w:t>One identity per subject; roles are global, permissions are scoped per tenant and per case.</w:t>
      </w:r>
    </w:p>
    <w:p>
      <w:pPr>
        <w:pStyle w:val="ListBullet"/>
      </w:pPr>
      <w:r>
        <w:rPr>
          <w:b/>
        </w:rPr>
        <w:t xml:space="preserve">Credentials: </w:t>
      </w:r>
      <w:r>
        <w:t>Password (Argon2id) + MFA for staff/neutrals; risk-based for parties; client secrets/mTLS for machines.</w:t>
      </w:r>
    </w:p>
    <w:p>
      <w:pPr>
        <w:pStyle w:val="ListBullet"/>
      </w:pPr>
      <w:r>
        <w:rPr>
          <w:b/>
        </w:rPr>
        <w:t xml:space="preserve">Federation: </w:t>
      </w:r>
      <w:r>
        <w:t>Enterprise IdP via OIDC/SAML; SCORES/intermediary SSO for the securities track (EQR-06).</w:t>
      </w:r>
    </w:p>
    <w:p>
      <w:pPr>
        <w:pStyle w:val="Heading1"/>
      </w:pPr>
      <w:r>
        <w:t>2. Authentication Flows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Flow</w:t>
            </w:r>
          </w:p>
        </w:tc>
        <w:tc>
          <w:tcPr>
            <w:tcW w:type="dxa" w:w="316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Used by</w:t>
            </w:r>
          </w:p>
        </w:tc>
        <w:tc>
          <w:tcPr>
            <w:tcW w:type="dxa" w:w="34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Authorization Code + PKCE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Web &amp; mobile apps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No client secret in the browser/app; short-lived code → tokens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Client Credentials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Server-to-server (enterprise/API, bulk intake)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Scoped tokens; optional mTLS for lenders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OIDC / SAML SSO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Enterprise users, SCORES/intermediary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Federated login; JIT provisioning with role mapping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Device/OTP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Low-friction party login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Mobile/email OTP; risk-based step-up</w:t>
            </w:r>
          </w:p>
        </w:tc>
      </w:tr>
    </w:tbl>
    <w:p>
      <w:pPr>
        <w:spacing w:after="40"/>
      </w:pPr>
    </w:p>
    <w:p>
      <w:pPr>
        <w:pStyle w:val="Heading1"/>
      </w:pPr>
      <w:r>
        <w:t>3. Tokens &amp; Sessions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Access token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JWT, 10–15 min TTL, audience-scoped, signed (rotating keys, JWKS)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Refresh token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Opaque, rotating, revocable, bound to device; 7–30 day sliding TTL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ID token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OIDC claims for the app; not used for API authorization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Sessions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Server-side session registry; revoke-all on password/role change or suspicion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Revocation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Immediate on de-empanelment, offboarding, breach; token blacklist + short TTL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Key management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Signing keys rotated; JWKS endpoint; no long-lived static secrets</w:t>
            </w:r>
          </w:p>
        </w:tc>
      </w:tr>
    </w:tbl>
    <w:p>
      <w:pPr>
        <w:spacing w:after="40"/>
      </w:pPr>
    </w:p>
    <w:p>
      <w:pPr>
        <w:pStyle w:val="Heading1"/>
      </w:pPr>
      <w:r>
        <w:t>4. MFA &amp; Step-Up Authentication</w:t>
      </w:r>
    </w:p>
    <w:p>
      <w:pPr>
        <w:pStyle w:val="ListBullet"/>
      </w:pPr>
      <w:r>
        <w:t>Baseline MFA for all staff, neutrals and enterprise admins (TOTP/WebAuthn).</w:t>
      </w:r>
    </w:p>
    <w:p>
      <w:pPr>
        <w:pStyle w:val="ListBullet"/>
      </w:pPr>
      <w:r>
        <w:t>Step-up (re-auth + liveness) required for: signing an award/settlement, accessing POSH/marital records, break-glass, and changing payout bank details.</w:t>
      </w:r>
    </w:p>
    <w:p>
      <w:pPr>
        <w:pStyle w:val="ListBullet"/>
      </w:pPr>
      <w:r>
        <w:t>Liveness/face-match at hearing join and at signing (deepfake defence, EQR-14 §6).</w:t>
      </w:r>
    </w:p>
    <w:p>
      <w:pPr>
        <w:pStyle w:val="ListBullet"/>
      </w:pPr>
      <w:r>
        <w:t>Risk-based challenges for parties (new device, geo-velocity, high-value action).</w:t>
      </w:r>
    </w:p>
    <w:p>
      <w:pPr>
        <w:pStyle w:val="Heading1"/>
      </w:pPr>
      <w:r>
        <w:t>5. Authorization — RBAC + ABAC</w:t>
      </w:r>
    </w:p>
    <w:p>
      <w:pPr>
        <w:spacing w:after="120"/>
      </w:pPr>
      <w:r>
        <w:rPr>
          <w:b w:val="0"/>
        </w:rPr>
        <w:t>Coarse access is role-based; fine access is attribute-based. A request is permitted only if the role grants the action AND the attributes satisfy the policy (tenant match, case relationship, confidentiality tier, mandate scope).</w:t>
      </w:r>
    </w:p>
    <w:p>
      <w:pPr>
        <w:pStyle w:val="Heading2"/>
      </w:pPr>
      <w:r>
        <w:t>5.1 Representative roles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Core permissions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party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file/respond, view own cases, upload, e-sign, pay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counsel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act for a party within mandate scope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arbitrator / mediator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manage assigned proceedings, draft/sign outcomes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case_manager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administer assigned cases, schedule, serve notice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institution_admin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empanelment, allocation, fee schedules (own tenant)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enterprise_admin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clauses, bulk-refer, IC, API keys (own tenant)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ic_member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POSH inquiry workspace (restricted tier)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nodal_officer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grievance triage, escalate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platform_admin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tenant/config/audit (segregated duties)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auditor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scoped read-only</w:t>
            </w:r>
          </w:p>
        </w:tc>
      </w:tr>
    </w:tbl>
    <w:p>
      <w:pPr>
        <w:spacing w:after="40"/>
      </w:pPr>
    </w:p>
    <w:p>
      <w:pPr>
        <w:pStyle w:val="Heading2"/>
      </w:pPr>
      <w:r>
        <w:t>5.2 ABAC policy matrix (illustrative)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Resource / action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Rule (all must hold)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case:read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role has read AND (party is on case OR assigned neutral/manager OR admin of case.tenant) AND tier allows role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evidence:write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assigned party/neutral on case AND case.status in {open states}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award:sign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role=arbitrator AND assigned to case AND step-up satisfied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posh_record:read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role in {ic_member, authorised} AND tier=POSH AND need-to-know AND logged (break-glass)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payout:update_bank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role=neutral(self) AND step-up AND cooling-off window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escalation:create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machine client with enterprise scope AND valid consent_ref</w:t>
            </w:r>
          </w:p>
        </w:tc>
      </w:tr>
    </w:tbl>
    <w:p>
      <w:pPr>
        <w:spacing w:after="40"/>
      </w:pPr>
    </w:p>
    <w:p>
      <w:pPr>
        <w:pStyle w:val="Heading1"/>
      </w:pPr>
      <w:r>
        <w:t>6. Tenancy, Consent &amp; Audit</w:t>
      </w:r>
    </w:p>
    <w:p>
      <w:pPr>
        <w:pStyle w:val="ListBullet"/>
      </w:pPr>
      <w:r>
        <w:t>Tenant isolation enforced at the data layer (row-level security) and the policy layer (ABAC tenant match).</w:t>
      </w:r>
    </w:p>
    <w:p>
      <w:pPr>
        <w:pStyle w:val="ListBullet"/>
      </w:pPr>
      <w:r>
        <w:t>Confidentiality tiers gate access; POSH/marital records never surface in general dashboards or search.</w:t>
      </w:r>
    </w:p>
    <w:p>
      <w:pPr>
        <w:pStyle w:val="ListBullet"/>
      </w:pPr>
      <w:r>
        <w:t>Consent (DPDP) is linked to identity and purpose; withdrawal propagates to access and processing.</w:t>
      </w:r>
    </w:p>
    <w:p>
      <w:pPr>
        <w:pStyle w:val="ListBullet"/>
      </w:pPr>
      <w:r>
        <w:t>Every authorization decision on sensitive resources is logged (who, what, when, why) to the immutable audit (EQR-14).</w:t>
      </w:r>
    </w:p>
    <w:p>
      <w:pPr>
        <w:pStyle w:val="ListBullet"/>
      </w:pPr>
      <w:r>
        <w:t>Segregation of duties for platform_admin; no single role can both change rulesets and approve their own changes.</w:t>
      </w:r>
    </w:p>
    <w:p>
      <w:pPr>
        <w:spacing w:after="120"/>
      </w:pPr>
      <w:r>
        <w:rPr>
          <w:b w:val="0"/>
          <w:color w:val="5A6B7B"/>
          <w:sz w:val="18"/>
        </w:rPr>
        <w:t>End of EQR-22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