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D · LEGAL &amp; COMPLIANCE</w:t>
      </w:r>
    </w:p>
    <w:p>
      <w:pPr>
        <w:pStyle w:val="Title"/>
        <w:pBdr>
          <w:bottom w:val="single" w:sz="20" w:space="6" w:color="B98A2E"/>
        </w:pBdr>
      </w:pPr>
      <w:r>
        <w:t>NFR, Operations, CI/CD &amp; IaC Pack</w:t>
      </w:r>
    </w:p>
    <w:p>
      <w:pPr>
        <w:spacing w:after="280"/>
      </w:pPr>
      <w:r>
        <w:rPr>
          <w:i/>
          <w:color w:val="5A6B7B"/>
          <w:sz w:val="25"/>
        </w:rPr>
        <w:t>The run-and-operate contract — service-level objectives and error budgets, the delivery pipeline and infrastructure-as-code, observability, disaster recovery, and incident management that keep the platform reliable and its legal clocks honoured.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EQR-23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NFR, Operations, CI/CD &amp; IaC Pack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 (refreshed)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SRE / Platform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§15 · EQR-14 (security) · EQR-24 (test) · EQR-16 (deployment diagram)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Service-Level Objectives &amp; Error Budgets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SLI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SLO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Error budget / note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Availability (core case svcs)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99.9% monthly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~43 min/month; excludes graceful-degradation modes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API latency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P95 &lt; 400 ms; P99 &lt; 900 ms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critical endpoint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Page load (low bandwidth)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&lt; 2 s meaningful paint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Core Web Vitals (EQR-26)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Clock correctness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100% statutory clocks fire before breach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missed clock = Sev-High incident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Durability (audit/outcomes)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 data loss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RPO ≤ 15 min for core; audit recovers last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Recovery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RTO ≤ 2 h core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tested via failover game-days</w:t>
            </w:r>
          </w:p>
        </w:tc>
      </w:tr>
    </w:tbl>
    <w:p>
      <w:pPr>
        <w:spacing w:after="40"/>
      </w:pPr>
    </w:p>
    <w:p>
      <w:pPr>
        <w:pStyle w:val="Heading1"/>
      </w:pPr>
      <w:r>
        <w:t>2. Capacity &amp; Scaling</w:t>
      </w:r>
    </w:p>
    <w:p>
      <w:pPr>
        <w:pStyle w:val="ListBullet"/>
      </w:pPr>
      <w:r>
        <w:t>Stateless services scale horizontally behind the gateway; autoscaling on CPU/RPS/queue depth.</w:t>
      </w:r>
    </w:p>
    <w:p>
      <w:pPr>
        <w:pStyle w:val="ListBullet"/>
      </w:pPr>
      <w:r>
        <w:t>Bulk NBFC intake sized for 10k+ cases per batch via async workers and backpressure.</w:t>
      </w:r>
    </w:p>
    <w:p>
      <w:pPr>
        <w:pStyle w:val="ListBullet"/>
      </w:pPr>
      <w:r>
        <w:t>Read models (case-status, search) scale independently of the write path (CQRS, EQR-21).</w:t>
      </w:r>
    </w:p>
    <w:p>
      <w:pPr>
        <w:pStyle w:val="ListBullet"/>
      </w:pPr>
      <w:r>
        <w:t>Load tests establish per-service headroom; capacity reviewed each phase gate.</w:t>
      </w:r>
    </w:p>
    <w:p>
      <w:pPr>
        <w:pStyle w:val="Heading1"/>
      </w:pPr>
      <w:r>
        <w:t>3. CI/CD Pipeline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Commit / PR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Trunk-based; short-lived branches; required reviews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Build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Lint, type-check, unit tests, SBOM, dependency &amp; secret scan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Integration + contract tests (OpenAPI), a11y checks, migration shadow-run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SAST/DAST, container scan, license check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Deploy to staging; E2E + performance smoke; manual approval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Progressive delivery (canary/blue-green); auto-rollback on SLO breach</w:t>
            </w:r>
          </w:p>
        </w:tc>
      </w:tr>
    </w:tbl>
    <w:p>
      <w:pPr>
        <w:spacing w:after="40"/>
      </w:pPr>
    </w:p>
    <w:p>
      <w:pPr>
        <w:pStyle w:val="Heading1"/>
      </w:pPr>
      <w:r>
        <w:t>4. Environments &amp; Infrastructure-as-Code</w:t>
      </w:r>
    </w:p>
    <w:p>
      <w:pPr>
        <w:pStyle w:val="ListBullet"/>
      </w:pPr>
      <w:r>
        <w:t>Environments: dev → staging → production (+ ephemeral PR previews); prod in an India region (residency).</w:t>
      </w:r>
    </w:p>
    <w:p>
      <w:pPr>
        <w:pStyle w:val="ListBullet"/>
      </w:pPr>
      <w:r>
        <w:t>All infrastructure defined as code (Terraform); no manual console changes; drift detection.</w:t>
      </w:r>
    </w:p>
    <w:p>
      <w:pPr>
        <w:pStyle w:val="ListBullet"/>
      </w:pPr>
      <w:r>
        <w:t>Config &amp; secrets in a managed secrets store; per-environment; least-privilege service identities.</w:t>
      </w:r>
    </w:p>
    <w:p>
      <w:pPr>
        <w:pStyle w:val="ListBullet"/>
      </w:pPr>
      <w:r>
        <w:t>Containerised (Kubernetes) with multi-AZ; DR region warm standby (EQR-16 §9).</w:t>
      </w:r>
    </w:p>
    <w:p>
      <w:pPr>
        <w:pStyle w:val="ListBullet"/>
      </w:pPr>
      <w:r>
        <w:t>Feature flags gate release from deploy; per-tenant rollout.</w:t>
      </w:r>
    </w:p>
    <w:p>
      <w:pPr>
        <w:pStyle w:val="Heading1"/>
      </w:pPr>
      <w:r>
        <w:t>5. Observability</w:t>
      </w:r>
    </w:p>
    <w:p>
      <w:pPr>
        <w:pStyle w:val="ListBullet"/>
      </w:pPr>
      <w:r>
        <w:rPr>
          <w:b/>
        </w:rPr>
        <w:t xml:space="preserve">Traces: </w:t>
      </w:r>
      <w:r>
        <w:t>OpenTelemetry across services; correlation IDs from gateway to DB.</w:t>
      </w:r>
    </w:p>
    <w:p>
      <w:pPr>
        <w:pStyle w:val="ListBullet"/>
      </w:pPr>
      <w:r>
        <w:rPr>
          <w:b/>
        </w:rPr>
        <w:t xml:space="preserve">Metrics: </w:t>
      </w:r>
      <w:r>
        <w:t>Golden signals per service + business KPIs (cases filed, time-to-resolution, SLA breaches).</w:t>
      </w:r>
    </w:p>
    <w:p>
      <w:pPr>
        <w:pStyle w:val="ListBullet"/>
      </w:pPr>
      <w:r>
        <w:rPr>
          <w:b/>
        </w:rPr>
        <w:t xml:space="preserve">Logs: </w:t>
      </w:r>
      <w:r>
        <w:t>Structured, PII-free, shipped to SIEM; retention per policy.</w:t>
      </w:r>
    </w:p>
    <w:p>
      <w:pPr>
        <w:pStyle w:val="ListBullet"/>
      </w:pPr>
      <w:r>
        <w:rPr>
          <w:b/>
        </w:rPr>
        <w:t xml:space="preserve">Dashboards: </w:t>
      </w:r>
      <w:r>
        <w:t>Per-service health + the Compliance Cockpit (legal clocks) (EQR-15 #8).</w:t>
      </w:r>
    </w:p>
    <w:p>
      <w:pPr>
        <w:pStyle w:val="ListBullet"/>
      </w:pPr>
      <w:r>
        <w:rPr>
          <w:b/>
        </w:rPr>
        <w:t xml:space="preserve">Alerting: </w:t>
      </w:r>
      <w:r>
        <w:t>Pre-breach clock alerts; SLO burn-rate alerts; on-call paging.</w:t>
      </w:r>
    </w:p>
    <w:p>
      <w:pPr>
        <w:pStyle w:val="Heading1"/>
      </w:pPr>
      <w:r>
        <w:t>6. Reliability &amp; Disaster Recovery</w:t>
      </w:r>
    </w:p>
    <w:p>
      <w:pPr>
        <w:pStyle w:val="ListBullet"/>
      </w:pPr>
      <w:r>
        <w:t>Multi-AZ core; automated backups with point-in-time recovery; monthly restore drills.</w:t>
      </w:r>
    </w:p>
    <w:p>
      <w:pPr>
        <w:pStyle w:val="ListBullet"/>
      </w:pPr>
      <w:r>
        <w:t>DR region warm standby; RPO ≤ 15 min / RTO ≤ 2 h; quarterly failover game-days with evidence.</w:t>
      </w:r>
    </w:p>
    <w:p>
      <w:pPr>
        <w:pStyle w:val="ListBullet"/>
      </w:pPr>
      <w:r>
        <w:t>Graceful degradation: if video or AI is down, filing, documents and e-sign remain available.</w:t>
      </w:r>
    </w:p>
    <w:p>
      <w:pPr>
        <w:pStyle w:val="ListBullet"/>
      </w:pPr>
      <w:r>
        <w:t>Backpressure and circuit breakers protect the write path during spikes.</w:t>
      </w:r>
    </w:p>
    <w:p>
      <w:pPr>
        <w:pStyle w:val="Heading1"/>
      </w:pPr>
      <w:r>
        <w:t>7. Incident Management &amp; Operations</w:t>
      </w:r>
    </w:p>
    <w:p>
      <w:pPr>
        <w:pStyle w:val="ListBullet"/>
      </w:pPr>
      <w:r>
        <w:t>Severity model (Sev-1..4); a missed statutory clock or confidentiality breach is Sev-High regardless of user impact.</w:t>
      </w:r>
    </w:p>
    <w:p>
      <w:pPr>
        <w:pStyle w:val="ListBullet"/>
      </w:pPr>
      <w:r>
        <w:t>On-call rotation, runbooks, and blameless post-incident reviews; action items tracked.</w:t>
      </w:r>
    </w:p>
    <w:p>
      <w:pPr>
        <w:pStyle w:val="ListBullet"/>
      </w:pPr>
      <w:r>
        <w:t>Breach response integrates the DPDP 72-hour timeline (EQR-14 §10).</w:t>
      </w:r>
    </w:p>
    <w:p>
      <w:pPr>
        <w:pStyle w:val="ListBullet"/>
      </w:pPr>
      <w:r>
        <w:t>Change management: rulesets/fees/templates versioned and peer-approved (CAB).</w:t>
      </w:r>
    </w:p>
    <w:p>
      <w:pPr>
        <w:pStyle w:val="ListBullet"/>
      </w:pPr>
      <w:r>
        <w:t>Support is tiered and audit-aware; staff actions on confidential cases are logged.</w:t>
      </w:r>
    </w:p>
    <w:p>
      <w:pPr>
        <w:spacing w:after="120"/>
      </w:pPr>
      <w:r>
        <w:rPr>
          <w:b w:val="0"/>
          <w:color w:val="5A6B7B"/>
          <w:sz w:val="18"/>
        </w:rPr>
        <w:t>End of EQR-23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