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D · LEGAL &amp; COMPLIANCE</w:t>
      </w:r>
    </w:p>
    <w:p>
      <w:pPr>
        <w:pStyle w:val="Title"/>
        <w:pBdr>
          <w:bottom w:val="single" w:sz="20" w:space="6" w:color="B98A2E"/>
        </w:pBdr>
      </w:pPr>
      <w:r>
        <w:t>Test, QA &amp; Requirements Traceability</w:t>
      </w:r>
    </w:p>
    <w:p>
      <w:pPr>
        <w:spacing w:after="280"/>
      </w:pPr>
      <w:r>
        <w:rPr>
          <w:i/>
          <w:color w:val="5A6B7B"/>
          <w:sz w:val="25"/>
        </w:rPr>
        <w:t>How quality is proven — the test strategy across the pyramid, confidentiality-safe synthetic data, acceptance criteria tied to requirements, quality gates, and a Requirements Traceability Matrix linking objectives to tests and controls.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EQR-24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Test, QA &amp; Requirements Traceability (RTM)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2.0 (refreshed)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QA / Architecture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EQR-23 (CI/CD) · EQR-18 (contract tests) · EQR-14 (security tests) · EQR-04 (legal-clock scenarios)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Test Strategy (the pyramid)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</w:t>
            </w:r>
          </w:p>
        </w:tc>
        <w:tc>
          <w:tcPr>
            <w:tcW w:type="dxa" w:w="374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Tooling / gate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Unit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Pure logic, rules, validators</w:t>
            </w:r>
          </w:p>
        </w:tc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Fast; run on every commit; coverage gate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Integration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Service + DB + queue</w:t>
            </w:r>
          </w:p>
        </w:tc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Ephemeral env; migration shadow-run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Contract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API against OpenAPI (EQR-18)</w:t>
            </w:r>
          </w:p>
        </w:tc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Breaking-change detection; provider/consumer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End-to-end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Critical journeys in a browser</w:t>
            </w:r>
          </w:p>
        </w:tc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File→resolve→execute; Playwright/Cypress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Performance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Latency &amp; load (bulk intake)</w:t>
            </w:r>
          </w:p>
        </w:tc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P95/P99 SLOs (EQR-23); soak tests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Security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SAST/DAST, dependency, pen-test</w:t>
            </w:r>
          </w:p>
        </w:tc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Gate on high/critical; STRIDE coverage (EQR-14)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Accessibility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WCAG 2.2 AA</w:t>
            </w:r>
          </w:p>
        </w:tc>
        <w:tc>
          <w:tcPr>
            <w:tcW w:type="dxa" w:w="374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axe + manual SR/keyboard; per component (EQR-19)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UAT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Business acceptance</w:t>
            </w:r>
          </w:p>
        </w:tc>
        <w:tc>
          <w:tcPr>
            <w:tcW w:type="dxa" w:w="374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Legal-ops sign-off per module (EQR-03)</w:t>
            </w:r>
          </w:p>
        </w:tc>
      </w:tr>
    </w:tbl>
    <w:p>
      <w:pPr>
        <w:spacing w:after="40"/>
      </w:pPr>
    </w:p>
    <w:p>
      <w:pPr>
        <w:pStyle w:val="Heading1"/>
      </w:pPr>
      <w:r>
        <w:t>2. Synthetic Test Data</w:t>
      </w:r>
    </w:p>
    <w:p>
      <w:pPr>
        <w:pStyle w:val="ListBullet"/>
      </w:pPr>
      <w:r>
        <w:t>No production personal data in non-prod; all fixtures are synthetic and confidentiality-safe.</w:t>
      </w:r>
    </w:p>
    <w:p>
      <w:pPr>
        <w:pStyle w:val="ListBullet"/>
      </w:pPr>
      <w:r>
        <w:t>Generators produce realistic parties, cases, evidence, and clocks per pillar for repeatable tests.</w:t>
      </w:r>
    </w:p>
    <w:p>
      <w:pPr>
        <w:pStyle w:val="ListBullet"/>
      </w:pPr>
      <w:r>
        <w:t>POSH/marital fixtures exercise the encryption/redaction paths without any real sensitive content.</w:t>
      </w:r>
    </w:p>
    <w:p>
      <w:pPr>
        <w:pStyle w:val="ListBullet"/>
      </w:pPr>
      <w:r>
        <w:t>Seed sets support demo/sandbox (EQR-06) and E2E determinism.</w:t>
      </w:r>
    </w:p>
    <w:p>
      <w:pPr>
        <w:pStyle w:val="Heading1"/>
      </w:pPr>
      <w:r>
        <w:t>3. Acceptance Criteria (behaviour-driven)</w:t>
      </w:r>
    </w:p>
    <w:p>
      <w:pPr>
        <w:spacing w:after="120"/>
      </w:pPr>
      <w:r>
        <w:rPr>
          <w:b w:val="0"/>
        </w:rPr>
        <w:t>Requirements carry Gherkin-style acceptance criteria that become executable tests. Example (award clock):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Scenario — S.29A clock alerts before breach.  </w:t>
            </w:r>
            <w:r>
              <w:rPr>
                <w:color w:val="1A1A1A"/>
                <w:sz w:val="19"/>
              </w:rPr>
              <w:t>Given an arbitration with pleadings completed on date D; when the award clock reaches D+11 months; then a red clock alert is raised to the tribunal and case manager; and the case appears in the Compliance Cockpit; and no award may be back-dated.</w:t>
            </w:r>
          </w:p>
        </w:tc>
      </w:tr>
    </w:tbl>
    <w:p>
      <w:pPr>
        <w:spacing w:after="40"/>
      </w:pPr>
    </w:p>
    <w:p>
      <w:pPr>
        <w:pStyle w:val="Heading1"/>
      </w:pPr>
      <w:r>
        <w:t>4. Quality Gates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66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Threshold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Unit coverage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≥ 80% on core logic; 100% on validators/rules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Contract tests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No undocumented or breaking API change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E2E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All critical journeys green pre-release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Accessibility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Zero critical axe violations; manual SR pass on key flows</w:t>
            </w:r>
          </w:p>
        </w:tc>
      </w:tr>
      <w:tr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66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No high/critical SAST/DAST/dependency findings unresolved</w:t>
            </w:r>
          </w:p>
        </w:tc>
      </w:tr>
      <w:tr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66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Meets P95/P99 and Core Web Vitals budgets</w:t>
            </w:r>
          </w:p>
        </w:tc>
      </w:tr>
    </w:tbl>
    <w:p>
      <w:pPr>
        <w:spacing w:after="40"/>
      </w:pPr>
    </w:p>
    <w:p>
      <w:pPr>
        <w:pStyle w:val="Heading1"/>
      </w:pPr>
      <w:r>
        <w:t>5. Requirements Traceability Matrix (RTM)</w:t>
      </w:r>
    </w:p>
    <w:p>
      <w:pPr>
        <w:spacing w:after="120"/>
      </w:pPr>
      <w:r>
        <w:rPr>
          <w:b w:val="0"/>
        </w:rPr>
        <w:t>The RTM is the audit spine: it links business objectives → requirements → design → tests → risks/controls, so coverage is provable. ID scheme: OBJ (objective), REQ (requirement), TC (test case), RISK, CTRL (control), LAW (statutory rule).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OBJ</w:t>
            </w:r>
          </w:p>
        </w:tc>
        <w:tc>
          <w:tcPr>
            <w:tcW w:type="dxa" w:w="273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REQ</w:t>
            </w:r>
          </w:p>
        </w:tc>
        <w:tc>
          <w:tcPr>
            <w:tcW w:type="dxa" w:w="129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Design</w:t>
            </w:r>
          </w:p>
        </w:tc>
        <w:tc>
          <w:tcPr>
            <w:tcW w:type="dxa" w:w="201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TC</w:t>
            </w:r>
          </w:p>
        </w:tc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CTRL / LAW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OBJ-1 Enforceable outcomes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REQ-12 execution bundle assembled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EQR-02 §13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TC-201 bundle contents; TC-202 export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LAW s.36/s.27; CTRL-integrity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OBJ-2 Honour legal clocks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REQ-08 clocks alert pre-breach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EQR-02 §14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TC-115 amber/red; TC-116 cockpit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LAW s.29A; CTRL-observability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OBJ-3 Confidentiality (POSH)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REQ-21 field-encrypt + need-to-know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EQR-14 §9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TC-330 redaction; TC-331 break-glass log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CTRL-access; DPDP</w:t>
            </w:r>
          </w:p>
        </w:tc>
      </w:tr>
      <w:tr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OBJ-4 Escalation integrity</w:t>
            </w:r>
          </w:p>
        </w:tc>
        <w:tc>
          <w:tcPr>
            <w:tcW w:type="dxa" w:w="273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REQ-30 consent before escalation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EQR-06 §5</w:t>
            </w:r>
          </w:p>
        </w:tc>
        <w:tc>
          <w:tcPr>
            <w:tcW w:type="dxa" w:w="201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TC-410 reject w/o consent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CTRL-consent; DPDP</w:t>
            </w:r>
          </w:p>
        </w:tc>
      </w:tr>
      <w:tr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OBJ-5 Advisory-only AI</w:t>
            </w:r>
          </w:p>
        </w:tc>
        <w:tc>
          <w:tcPr>
            <w:tcW w:type="dxa" w:w="273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REQ-40 Explorer never decides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EQR-07 §10</w:t>
            </w:r>
          </w:p>
        </w:tc>
        <w:tc>
          <w:tcPr>
            <w:tcW w:type="dxa" w:w="201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TC-505 no case without action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CTRL-AI governance</w:t>
            </w:r>
          </w:p>
        </w:tc>
      </w:tr>
    </w:tbl>
    <w:p>
      <w:pPr>
        <w:spacing w:after="40"/>
      </w:pPr>
    </w:p>
    <w:p>
      <w:pPr>
        <w:pStyle w:val="Heading1"/>
      </w:pPr>
      <w:r>
        <w:t>6. Release &amp; Regression</w:t>
      </w:r>
    </w:p>
    <w:p>
      <w:pPr>
        <w:pStyle w:val="ListBullet"/>
      </w:pPr>
      <w:r>
        <w:t>Automated regression suite runs in CI and pre-release; flaky tests quarantined and fixed, not skipped.</w:t>
      </w:r>
    </w:p>
    <w:p>
      <w:pPr>
        <w:pStyle w:val="ListBullet"/>
      </w:pPr>
      <w:r>
        <w:t>Enforcement and legal-clock scenarios are part of the release gate for any change touching rulesets.</w:t>
      </w:r>
    </w:p>
    <w:p>
      <w:pPr>
        <w:pStyle w:val="ListBullet"/>
      </w:pPr>
      <w:r>
        <w:t>Post-release smoke on production; SLO burn-rate watched during progressive rollout (EQR-23).</w:t>
      </w:r>
    </w:p>
    <w:p>
      <w:pPr>
        <w:spacing w:after="120"/>
      </w:pPr>
      <w:r>
        <w:rPr>
          <w:b w:val="0"/>
          <w:color w:val="5A6B7B"/>
          <w:sz w:val="18"/>
        </w:rPr>
        <w:t>End of EQR-24 v2.0.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