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E · WEB, MOBILE &amp; CONTENT</w:t>
      </w:r>
    </w:p>
    <w:p>
      <w:pPr>
        <w:pStyle w:val="Title"/>
        <w:pBdr>
          <w:bottom w:val="single" w:sz="20" w:space="6" w:color="B98A2E"/>
        </w:pBdr>
      </w:pPr>
      <w:r>
        <w:t>Front-End Engineering Specification</w:t>
      </w:r>
    </w:p>
    <w:p>
      <w:pPr>
        <w:spacing w:after="280"/>
      </w:pPr>
      <w:r>
        <w:rPr>
          <w:i/>
          <w:color w:val="5A6B7B"/>
          <w:sz w:val="25"/>
        </w:rPr>
        <w:t>How the web client is built — framework and rendering strategy, application structure, state and data fetching, integration with the design system and form engine, internationalisation, performance budgets, analytics and security.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EQR-25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Front-End Engineering Specification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Front-end Lead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EQR-19 (design system) · EQR-20 (form engine) · EQR-18 (API) · EQR-26 (SEO) · EQR-11 (mobile)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Framework &amp; Rendering</w:t>
      </w:r>
    </w:p>
    <w:p>
      <w:pPr>
        <w:pStyle w:val="ListBullet"/>
      </w:pPr>
      <w:r>
        <w:rPr>
          <w:b/>
        </w:rPr>
        <w:t xml:space="preserve">Framework: </w:t>
      </w:r>
      <w:r>
        <w:t>Next.js (React + TypeScript) — one codebase for marketing and app.</w:t>
      </w:r>
    </w:p>
    <w:p>
      <w:pPr>
        <w:pStyle w:val="ListBullet"/>
      </w:pPr>
      <w:r>
        <w:rPr>
          <w:b/>
        </w:rPr>
        <w:t xml:space="preserve">Public/SEO pages: </w:t>
      </w:r>
      <w:r>
        <w:t>Server-side rendered / statically generated (home, practice areas, country pages) for SEO (EQR-26).</w:t>
      </w:r>
    </w:p>
    <w:p>
      <w:pPr>
        <w:pStyle w:val="ListBullet"/>
      </w:pPr>
      <w:r>
        <w:rPr>
          <w:b/>
        </w:rPr>
        <w:t xml:space="preserve">App pages: </w:t>
      </w:r>
      <w:r>
        <w:t>Client-rendered behind auth (dashboards, filing, case status), hydrated from the API.</w:t>
      </w:r>
    </w:p>
    <w:p>
      <w:pPr>
        <w:pStyle w:val="ListBullet"/>
      </w:pPr>
      <w:r>
        <w:rPr>
          <w:b/>
        </w:rPr>
        <w:t xml:space="preserve">Edge/CDN: </w:t>
      </w:r>
      <w:r>
        <w:t>Static assets and SSG pages served from CDN; India-region origin for data.</w:t>
      </w:r>
    </w:p>
    <w:p>
      <w:pPr>
        <w:pStyle w:val="Heading1"/>
      </w:pPr>
      <w:r>
        <w:t>2. Application Structure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34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Convention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Routing</w:t>
            </w:r>
          </w:p>
        </w:tc>
        <w:tc>
          <w:tcPr>
            <w:tcW w:type="dxa" w:w="73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File-based routes; segment by persona (/app/party, /app/neutral, /app/enterprise, /admin)</w:t>
            </w:r>
          </w:p>
        </w:tc>
      </w:tr>
      <w:tr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Structure</w:t>
            </w:r>
          </w:p>
        </w:tc>
        <w:tc>
          <w:tcPr>
            <w:tcW w:type="dxa" w:w="73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feature-first folders (feature/{components,hooks,api,types}); shared /ui (design system)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Components</w:t>
            </w:r>
          </w:p>
        </w:tc>
        <w:tc>
          <w:tcPr>
            <w:tcW w:type="dxa" w:w="73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Design-system components only (EQR-19); no ad-hoc styling; Storybook-backed</w:t>
            </w:r>
          </w:p>
        </w:tc>
      </w:tr>
      <w:tr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Types</w:t>
            </w:r>
          </w:p>
        </w:tc>
        <w:tc>
          <w:tcPr>
            <w:tcW w:type="dxa" w:w="73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Generated from OpenAPI (EQR-18) — a single typed API client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Config</w:t>
            </w:r>
          </w:p>
        </w:tc>
        <w:tc>
          <w:tcPr>
            <w:tcW w:type="dxa" w:w="73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Environment via typed config; feature flags server-driven (EQR-23)</w:t>
            </w:r>
          </w:p>
        </w:tc>
      </w:tr>
    </w:tbl>
    <w:p>
      <w:pPr>
        <w:spacing w:after="40"/>
      </w:pPr>
    </w:p>
    <w:p>
      <w:pPr>
        <w:pStyle w:val="Heading1"/>
      </w:pPr>
      <w:r>
        <w:t>3. State &amp; Data Fetching</w:t>
      </w:r>
    </w:p>
    <w:p>
      <w:pPr>
        <w:pStyle w:val="ListBullet"/>
      </w:pPr>
      <w:r>
        <w:rPr>
          <w:b/>
        </w:rPr>
        <w:t xml:space="preserve">Server state: </w:t>
      </w:r>
      <w:r>
        <w:t>react-query (TanStack Query) for API data — caching, retries, background refetch.</w:t>
      </w:r>
    </w:p>
    <w:p>
      <w:pPr>
        <w:pStyle w:val="ListBullet"/>
      </w:pPr>
      <w:r>
        <w:rPr>
          <w:b/>
        </w:rPr>
        <w:t xml:space="preserve">Client state: </w:t>
      </w:r>
      <w:r>
        <w:t>Local/React state and a light store (Zustand) for UI-only state; no over-centralisation.</w:t>
      </w:r>
    </w:p>
    <w:p>
      <w:pPr>
        <w:pStyle w:val="ListBullet"/>
      </w:pPr>
      <w:r>
        <w:rPr>
          <w:b/>
        </w:rPr>
        <w:t xml:space="preserve">API client: </w:t>
      </w:r>
      <w:r>
        <w:t>Typed, generated from OpenAPI; interceptors for auth (EQR-22), correlation IDs, error mapping.</w:t>
      </w:r>
    </w:p>
    <w:p>
      <w:pPr>
        <w:pStyle w:val="ListBullet"/>
      </w:pPr>
      <w:r>
        <w:rPr>
          <w:b/>
        </w:rPr>
        <w:t xml:space="preserve">Real-time: </w:t>
      </w:r>
      <w:r>
        <w:t>Webhook-driven server pushes surfaced via polling/websocket for case-status and clocks.</w:t>
      </w:r>
    </w:p>
    <w:p>
      <w:pPr>
        <w:pStyle w:val="ListBullet"/>
      </w:pPr>
      <w:r>
        <w:rPr>
          <w:b/>
        </w:rPr>
        <w:t xml:space="preserve">Offline/drafts: </w:t>
      </w:r>
      <w:r>
        <w:t>Filing drafts autosave; queue-and-sync for flaky networks (mirrors mobile, EQR-11).</w:t>
      </w:r>
    </w:p>
    <w:p>
      <w:pPr>
        <w:pStyle w:val="Heading1"/>
      </w:pPr>
      <w:r>
        <w:t>4. Design System &amp; Form Engine Integration</w:t>
      </w:r>
    </w:p>
    <w:p>
      <w:pPr>
        <w:pStyle w:val="ListBullet"/>
      </w:pPr>
      <w:r>
        <w:t>All UI is composed from the EQR-19 component library; tokens imported from EQR-19_Design_Tokens.json.</w:t>
      </w:r>
    </w:p>
    <w:p>
      <w:pPr>
        <w:pStyle w:val="ListBullet"/>
      </w:pPr>
      <w:r>
        <w:t>Every form is rendered by the schema-driven Form Engine (EQR-20) — no hand-built form markup.</w:t>
      </w:r>
    </w:p>
    <w:p>
      <w:pPr>
        <w:pStyle w:val="ListBullet"/>
      </w:pPr>
      <w:r>
        <w:t>Client validation is generated from the same schema the server enforces; errors map to the API Error shape.</w:t>
      </w:r>
    </w:p>
    <w:p>
      <w:pPr>
        <w:pStyle w:val="Heading1"/>
      </w:pPr>
      <w:r>
        <w:t>5. Internationalisation &amp; Accessibility</w:t>
      </w:r>
    </w:p>
    <w:p>
      <w:pPr>
        <w:pStyle w:val="ListBullet"/>
      </w:pPr>
      <w:r>
        <w:t>i18n framework externalises all strings (keys, not literals); English + Indian languages; lazy-loaded locales.</w:t>
      </w:r>
    </w:p>
    <w:p>
      <w:pPr>
        <w:pStyle w:val="ListBullet"/>
      </w:pPr>
      <w:r>
        <w:t>Vernacular fonts and number/date formatting per locale; RTL-ready layout primitives.</w:t>
      </w:r>
    </w:p>
    <w:p>
      <w:pPr>
        <w:pStyle w:val="ListBullet"/>
      </w:pPr>
      <w:r>
        <w:t>Accessibility is enforced in components (EQR-19 §6) and tested in CI (axe) and manually (EQR-24).</w:t>
      </w:r>
    </w:p>
    <w:p>
      <w:pPr>
        <w:pStyle w:val="Heading1"/>
      </w:pPr>
      <w:r>
        <w:t>6. Performance Budgets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3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0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Budget</w:t>
            </w:r>
          </w:p>
        </w:tc>
      </w:tr>
      <w:tr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Largest Contentful Paint</w:t>
            </w:r>
          </w:p>
        </w:tc>
        <w:tc>
          <w:tcPr>
            <w:tcW w:type="dxa" w:w="60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&lt; 2.5 s (mobile, mid-tier device)</w:t>
            </w:r>
          </w:p>
        </w:tc>
      </w:tr>
      <w:tr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Interaction to Next Paint</w:t>
            </w:r>
          </w:p>
        </w:tc>
        <w:tc>
          <w:tcPr>
            <w:tcW w:type="dxa" w:w="60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&lt; 200 ms</w:t>
            </w:r>
          </w:p>
        </w:tc>
      </w:tr>
      <w:tr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Cumulative Layout Shift</w:t>
            </w:r>
          </w:p>
        </w:tc>
        <w:tc>
          <w:tcPr>
            <w:tcW w:type="dxa" w:w="60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&lt; 0.1</w:t>
            </w:r>
          </w:p>
        </w:tc>
      </w:tr>
      <w:tr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Initial JS (route)</w:t>
            </w:r>
          </w:p>
        </w:tc>
        <w:tc>
          <w:tcPr>
            <w:tcW w:type="dxa" w:w="60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&lt; 180 KB gzipped; code-split by route</w:t>
            </w:r>
          </w:p>
        </w:tc>
      </w:tr>
      <w:tr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Images</w:t>
            </w:r>
          </w:p>
        </w:tc>
        <w:tc>
          <w:tcPr>
            <w:tcW w:type="dxa" w:w="60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Responsive, lazy, modern formats; no layout shift</w:t>
            </w:r>
          </w:p>
        </w:tc>
      </w:tr>
    </w:tbl>
    <w:p>
      <w:pPr>
        <w:spacing w:after="40"/>
      </w:pPr>
    </w:p>
    <w:p>
      <w:pPr>
        <w:pStyle w:val="Heading1"/>
      </w:pPr>
      <w:r>
        <w:t>7. Analytics, Security &amp; Delivery</w:t>
      </w:r>
    </w:p>
    <w:p>
      <w:pPr>
        <w:pStyle w:val="ListBullet"/>
      </w:pPr>
      <w:r>
        <w:rPr>
          <w:b/>
        </w:rPr>
        <w:t xml:space="preserve">Analytics: </w:t>
      </w:r>
      <w:r>
        <w:t>Consent-aware event instrumentation (funnel: Explorer→file→resolve); no PII in events; DPDP-gated.</w:t>
      </w:r>
    </w:p>
    <w:p>
      <w:pPr>
        <w:pStyle w:val="ListBullet"/>
      </w:pPr>
      <w:r>
        <w:rPr>
          <w:b/>
        </w:rPr>
        <w:t xml:space="preserve">Security: </w:t>
      </w:r>
      <w:r>
        <w:t>CSP, XSS/CSRF protection, secure cookies, no secrets in the bundle; tokens in memory/secure storage (EQR-22).</w:t>
      </w:r>
    </w:p>
    <w:p>
      <w:pPr>
        <w:pStyle w:val="ListBullet"/>
      </w:pPr>
      <w:r>
        <w:rPr>
          <w:b/>
        </w:rPr>
        <w:t xml:space="preserve">Errors: </w:t>
      </w:r>
      <w:r>
        <w:t>Global error boundary; user-friendly states; client errors reported (PII-scrubbed).</w:t>
      </w:r>
    </w:p>
    <w:p>
      <w:pPr>
        <w:pStyle w:val="ListBullet"/>
      </w:pPr>
      <w:r>
        <w:rPr>
          <w:b/>
        </w:rPr>
        <w:t xml:space="preserve">PWA: </w:t>
      </w:r>
      <w:r>
        <w:t>Installable, offline shell for status/documents; push for clocks/hearings.</w:t>
      </w:r>
    </w:p>
    <w:p>
      <w:pPr>
        <w:pStyle w:val="ListBullet"/>
      </w:pPr>
      <w:r>
        <w:rPr>
          <w:b/>
        </w:rPr>
        <w:t xml:space="preserve">Delivery: </w:t>
      </w:r>
      <w:r>
        <w:t>Built and deployed via the pipeline (EQR-23); previews per PR; visual-regression on the design system.</w:t>
      </w:r>
    </w:p>
    <w:p>
      <w:pPr>
        <w:spacing w:after="120"/>
      </w:pPr>
      <w:r>
        <w:rPr>
          <w:b w:val="0"/>
          <w:color w:val="5A6B7B"/>
          <w:sz w:val="18"/>
        </w:rPr>
        <w:t>End of EQR-25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EQR-25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