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E · WEB, MOBILE &amp; CONTENT</w:t>
      </w:r>
    </w:p>
    <w:p>
      <w:pPr>
        <w:pStyle w:val="Title"/>
        <w:pBdr>
          <w:bottom w:val="single" w:sz="20" w:space="6" w:color="B98A2E"/>
        </w:pBdr>
      </w:pPr>
      <w:r>
        <w:t>Technical SEO &amp; Web Performance Pack</w:t>
      </w:r>
    </w:p>
    <w:p>
      <w:pPr>
        <w:spacing w:after="280"/>
      </w:pPr>
      <w:r>
        <w:rPr>
          <w:i/>
          <w:color w:val="5A6B7B"/>
          <w:sz w:val="25"/>
        </w:rPr>
        <w:t>How the site gets found and stays fast — rendering for search, sitemaps and structured data, international (hreflang) SEO for country pages, a keyword and content map, and the Core Web Vitals targets that gate performance.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EQR-26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Technical SEO &amp; Web Performance Pack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Growth / Front-end Lead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EQR-25 (front-end) · EQR-09/10 (IA &amp; copy) · EQR-19 (a11y)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Rendering for Search</w:t>
      </w:r>
    </w:p>
    <w:p>
      <w:pPr>
        <w:pStyle w:val="ListBullet"/>
      </w:pPr>
      <w:r>
        <w:t>Public, discoverable pages (home, practice areas, country pages, knowledge base, blog) are server-rendered or statically generated (EQR-25) so crawlers get full HTML.</w:t>
      </w:r>
    </w:p>
    <w:p>
      <w:pPr>
        <w:pStyle w:val="ListBullet"/>
      </w:pPr>
      <w:r>
        <w:t>App pages behind auth are noindex; canonical tags prevent duplicate indexing.</w:t>
      </w:r>
    </w:p>
    <w:p>
      <w:pPr>
        <w:pStyle w:val="ListBullet"/>
      </w:pPr>
      <w:r>
        <w:t>Clean, human-readable URLs by segment (e.g., /practice-areas/nbfc-dispute-resolution, /international/india).</w:t>
      </w:r>
    </w:p>
    <w:p>
      <w:pPr>
        <w:pStyle w:val="Heading1"/>
      </w:pPr>
      <w:r>
        <w:t>2. Crawl &amp; Index Controls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sitemap.xml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Auto-generated; lists public pages with lastmod; segmented sitemaps for practice areas &amp; country pages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robots.txt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Allow public; disallow /app, /admin, query-param duplicates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canonical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One canonical per page; parameters canonicalised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meta robots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noindex on app/utility pages; index,follow on marketing</w:t>
            </w:r>
          </w:p>
        </w:tc>
      </w:tr>
    </w:tbl>
    <w:p>
      <w:pPr>
        <w:spacing w:after="40"/>
      </w:pPr>
    </w:p>
    <w:p>
      <w:pPr>
        <w:pStyle w:val="Heading1"/>
      </w:pPr>
      <w:r>
        <w:t>3. Structured Data (schema.org)</w:t>
      </w:r>
    </w:p>
    <w:p>
      <w:pPr>
        <w:pStyle w:val="ListBullet"/>
      </w:pPr>
      <w:r>
        <w:rPr>
          <w:b/>
        </w:rPr>
        <w:t xml:space="preserve">LegalService / ProfessionalService: </w:t>
      </w:r>
      <w:r>
        <w:t>Org, services, areas served, contact — on home and practice-area pages.</w:t>
      </w:r>
    </w:p>
    <w:p>
      <w:pPr>
        <w:pStyle w:val="ListBullet"/>
      </w:pPr>
      <w:r>
        <w:rPr>
          <w:b/>
        </w:rPr>
        <w:t xml:space="preserve">FAQPage: </w:t>
      </w:r>
      <w:r>
        <w:t>On how-it-works and practice-area FAQs (rich results).</w:t>
      </w:r>
    </w:p>
    <w:p>
      <w:pPr>
        <w:pStyle w:val="ListBullet"/>
      </w:pPr>
      <w:r>
        <w:rPr>
          <w:b/>
        </w:rPr>
        <w:t xml:space="preserve">BreadcrumbList: </w:t>
      </w:r>
      <w:r>
        <w:t>On deep pages for breadcrumb rich results.</w:t>
      </w:r>
    </w:p>
    <w:p>
      <w:pPr>
        <w:pStyle w:val="ListBullet"/>
      </w:pPr>
      <w:r>
        <w:rPr>
          <w:b/>
        </w:rPr>
        <w:t xml:space="preserve">Article: </w:t>
      </w:r>
      <w:r>
        <w:t>On blog/knowledge-base posts.</w:t>
      </w:r>
    </w:p>
    <w:p>
      <w:pPr>
        <w:pStyle w:val="ListBullet"/>
      </w:pPr>
      <w:r>
        <w:rPr>
          <w:b/>
        </w:rPr>
        <w:t xml:space="preserve">Organization: </w:t>
      </w:r>
      <w:r>
        <w:t>Sitewide: name, logo, sameAs (social), presence (Singapore, New Delhi, New York, London).</w:t>
      </w:r>
    </w:p>
    <w:p>
      <w:pPr>
        <w:pStyle w:val="Heading1"/>
      </w:pPr>
      <w:r>
        <w:t>4. International SEO</w:t>
      </w:r>
    </w:p>
    <w:p>
      <w:pPr>
        <w:pStyle w:val="ListBullet"/>
      </w:pPr>
      <w:r>
        <w:t>hreflang annotations link country and language variants (e.g., en-IN, hi-IN, en-GB) to avoid duplicate-content penalties.</w:t>
      </w:r>
    </w:p>
    <w:p>
      <w:pPr>
        <w:pStyle w:val="ListBullet"/>
      </w:pPr>
      <w:r>
        <w:t>Country pages (India, USA, UK, Canada, Germany, Singapore, UAE, …) target local intent and law references (EQR-03 §8).</w:t>
      </w:r>
    </w:p>
    <w:p>
      <w:pPr>
        <w:pStyle w:val="ListBullet"/>
      </w:pPr>
      <w:r>
        <w:t>Vernacular pages declared with correct lang; localted titles/descriptions.</w:t>
      </w:r>
    </w:p>
    <w:p>
      <w:pPr>
        <w:pStyle w:val="ListBullet"/>
      </w:pPr>
      <w:r>
        <w:t>x-default set for the primary market.</w:t>
      </w:r>
    </w:p>
    <w:p>
      <w:pPr>
        <w:pStyle w:val="Heading1"/>
      </w:pPr>
      <w:r>
        <w:t>5. Keyword &amp; Content Map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 type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Primary intent / keywords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Home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online dispute resolution India; settle disputes online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NBFC practice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loan dispute resolution; NBFC arbitration; RBI grievance ODR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Commercial/MSME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commercial arbitration online; MSME payment dispute; MSEFC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Family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online divorce mediation; NRI marriage dispute; custody mediation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Consumer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consumer complaint resolution online; refund dispute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Securities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SEBI SMART ODR; investor dispute arbitration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International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international commercial arbitration; cross-border dispute; export import dispute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Neutrals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become an arbitrator/mediator India; ODR empanelment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Knowledge base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how ODR works; ADR clauses; Mediation Act 2023</w:t>
            </w:r>
          </w:p>
        </w:tc>
      </w:tr>
    </w:tbl>
    <w:p>
      <w:pPr>
        <w:spacing w:after="40"/>
      </w:pPr>
    </w:p>
    <w:p>
      <w:pPr>
        <w:pStyle w:val="Heading1"/>
      </w:pPr>
      <w:r>
        <w:t>6. Core Web Vitals &amp; Performance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LCP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&lt; 2.5 s (field, mobile)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INP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&lt; 200 ms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CLS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&lt; 0.1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TTFB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&lt; 0.8 s (SSR/CDN)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Page weight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lean; route-level code-split; modern image formats</w:t>
            </w:r>
          </w:p>
        </w:tc>
      </w:tr>
    </w:tbl>
    <w:p>
      <w:pPr>
        <w:spacing w:after="40"/>
      </w:pPr>
    </w:p>
    <w:p>
      <w:pPr>
        <w:pStyle w:val="ListBullet"/>
      </w:pPr>
      <w:r>
        <w:t>Techniques: SSG/SSR + CDN, critical-CSS, font-display swap, responsive/lazy images, prefetch key routes.</w:t>
      </w:r>
    </w:p>
    <w:p>
      <w:pPr>
        <w:pStyle w:val="ListBullet"/>
      </w:pPr>
      <w:r>
        <w:t>Budgets enforced in CI (Lighthouse) and monitored in the field (RUM); regressions block release (EQR-24).</w:t>
      </w:r>
    </w:p>
    <w:p>
      <w:pPr>
        <w:pStyle w:val="Heading1"/>
      </w:pPr>
      <w:r>
        <w:t>7. Measurement</w:t>
      </w:r>
    </w:p>
    <w:p>
      <w:pPr>
        <w:pStyle w:val="ListBullet"/>
      </w:pPr>
      <w:r>
        <w:t>Search Console + analytics (consent-aware, EQR-25) track rankings, CTR, and the Explorer→file funnel.</w:t>
      </w:r>
    </w:p>
    <w:p>
      <w:pPr>
        <w:pStyle w:val="ListBullet"/>
      </w:pPr>
      <w:r>
        <w:t>Structured-data and hreflang validated in CI and monitored post-deploy.</w:t>
      </w:r>
    </w:p>
    <w:p>
      <w:pPr>
        <w:pStyle w:val="ListBullet"/>
      </w:pPr>
      <w:r>
        <w:t>Accessibility and SEO overlap (semantic HTML, alt text, headings) — one improves the other.</w:t>
      </w:r>
    </w:p>
    <w:p>
      <w:pPr>
        <w:spacing w:after="120"/>
      </w:pPr>
      <w:r>
        <w:rPr>
          <w:b w:val="0"/>
          <w:color w:val="5A6B7B"/>
          <w:sz w:val="18"/>
        </w:rPr>
        <w:t>End of EQR-26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