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D · LEGAL &amp; COMPLIANCE</w:t>
      </w:r>
    </w:p>
    <w:p>
      <w:pPr>
        <w:pStyle w:val="Title"/>
        <w:pBdr>
          <w:bottom w:val="single" w:sz="20" w:space="6" w:color="B98A2E"/>
        </w:pBdr>
      </w:pPr>
      <w:r>
        <w:t>Legal Pages &amp; Data Processing Agreement (Templates)</w:t>
      </w:r>
    </w:p>
    <w:p>
      <w:pPr>
        <w:spacing w:after="280"/>
      </w:pPr>
      <w:r>
        <w:rPr>
          <w:i/>
          <w:color w:val="5A6B7B"/>
          <w:sz w:val="25"/>
        </w:rPr>
        <w:t>Ready-to-review draft text for the site's legal pages and a data-processing agreement — Terms, Privacy (DPDP-aligned), Cookies, Disclaimer, Grievance Officer, Acceptable Use, the Dispute Explorer consent notice, and a DPA with a sub-processor list.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EQR-27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Legal Pages &amp; DPA (Templates)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 — DRAFT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Draft for counsel review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General Counsel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EQR-10 (footer links) · EQR-14 (DPDP) · EQR-08 (refunds) · EQR-06 (sub-processors)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TEMPLATE drafting for review by qualified counsel; NOT legal advice and not final. Adapt to entity, jurisdictions and regulators before publishing.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Read me first.  </w:t>
            </w:r>
            <w:r>
              <w:rPr>
                <w:color w:val="1A1A1A"/>
                <w:sz w:val="19"/>
              </w:rPr>
              <w:t>These are drafting templates to accelerate counsel, not final legal documents. Bracketed [ ] items need entity- and jurisdiction-specific input. Have qualified counsel review and localise before publishing; some clauses vary by state and by the regulators a client is subject to.</w:t>
            </w:r>
          </w:p>
        </w:tc>
      </w:tr>
    </w:tbl>
    <w:p>
      <w:pPr>
        <w:spacing w:after="40"/>
      </w:pPr>
    </w:p>
    <w:p>
      <w:pPr>
        <w:pStyle w:val="Heading1"/>
      </w:pPr>
      <w:r>
        <w:t>1. Terms of Service (outline + key clauses)</w:t>
      </w:r>
    </w:p>
    <w:p>
      <w:pPr>
        <w:spacing w:after="120"/>
      </w:pPr>
      <w:r>
        <w:rPr>
          <w:b w:val="0"/>
        </w:rPr>
        <w:t>Governs use of the Equator Resolution platform by parties, neutrals and enterprises.</w:t>
      </w:r>
    </w:p>
    <w:p>
      <w:pPr>
        <w:pStyle w:val="ListBullet"/>
      </w:pPr>
      <w:r>
        <w:rPr>
          <w:b/>
        </w:rPr>
        <w:t xml:space="preserve">Nature of service: </w:t>
      </w:r>
      <w:r>
        <w:t>Equator Resolution provides technology and institutional facilities for online dispute resolution; it is not a law firm and does not provide legal advice.</w:t>
      </w:r>
    </w:p>
    <w:p>
      <w:pPr>
        <w:pStyle w:val="ListBullet"/>
      </w:pPr>
      <w:r>
        <w:rPr>
          <w:b/>
        </w:rPr>
        <w:t xml:space="preserve">Eligibility &amp; accounts: </w:t>
      </w:r>
      <w:r>
        <w:t>Capacity to contract; accurate information; account security; one identity per user.</w:t>
      </w:r>
    </w:p>
    <w:p>
      <w:pPr>
        <w:pStyle w:val="ListBullet"/>
      </w:pPr>
      <w:r>
        <w:rPr>
          <w:b/>
        </w:rPr>
        <w:t xml:space="preserve">Role of neutrals: </w:t>
      </w:r>
      <w:r>
        <w:t>Neutrals are independent; Equator administers and provides rails; outcomes are the neutral's/parties'.</w:t>
      </w:r>
    </w:p>
    <w:p>
      <w:pPr>
        <w:pStyle w:val="ListBullet"/>
      </w:pPr>
      <w:r>
        <w:rPr>
          <w:b/>
        </w:rPr>
        <w:t xml:space="preserve">Acceptable use: </w:t>
      </w:r>
      <w:r>
        <w:t>No unlawful, fraudulent, infringing or abusive use; on-platform communication for case matters.</w:t>
      </w:r>
    </w:p>
    <w:p>
      <w:pPr>
        <w:pStyle w:val="ListBullet"/>
      </w:pPr>
      <w:r>
        <w:rPr>
          <w:b/>
        </w:rPr>
        <w:t xml:space="preserve">Fees: </w:t>
      </w:r>
      <w:r>
        <w:t>Payable per the published Schedule of Fee (EQR-08); taxes extra; third-party pass-through (e-stamp).</w:t>
      </w:r>
    </w:p>
    <w:p>
      <w:pPr>
        <w:pStyle w:val="ListBullet"/>
      </w:pPr>
      <w:r>
        <w:rPr>
          <w:b/>
        </w:rPr>
        <w:t xml:space="preserve">Outcomes &amp; enforcement: </w:t>
      </w:r>
      <w:r>
        <w:t>Settlements/awards are enforceable per applicable law (EQR-04); Equator does not guarantee any outcome.</w:t>
      </w:r>
    </w:p>
    <w:p>
      <w:pPr>
        <w:pStyle w:val="ListBullet"/>
      </w:pPr>
      <w:r>
        <w:rPr>
          <w:b/>
        </w:rPr>
        <w:t xml:space="preserve">Liability: </w:t>
      </w:r>
      <w:r>
        <w:t>Service provided ‘as is'; liability limited to the extent permitted by law; no liability for the merits of a dispute.</w:t>
      </w:r>
    </w:p>
    <w:p>
      <w:pPr>
        <w:pStyle w:val="ListBullet"/>
      </w:pPr>
      <w:r>
        <w:rPr>
          <w:b/>
        </w:rPr>
        <w:t xml:space="preserve">Suspension/termination: </w:t>
      </w:r>
      <w:r>
        <w:t>For breach, fraud, or legal requirement; data handling on termination per Privacy Policy.</w:t>
      </w:r>
    </w:p>
    <w:p>
      <w:pPr>
        <w:pStyle w:val="ListBullet"/>
      </w:pPr>
      <w:r>
        <w:rPr>
          <w:b/>
        </w:rPr>
        <w:t xml:space="preserve">Governing law &amp; disputes: </w:t>
      </w:r>
      <w:r>
        <w:t>[Governing law]; disputes about the platform resolved by [forum/ADR].</w:t>
      </w:r>
    </w:p>
    <w:p>
      <w:pPr>
        <w:pStyle w:val="ListBullet"/>
      </w:pPr>
      <w:r>
        <w:rPr>
          <w:b/>
        </w:rPr>
        <w:t xml:space="preserve">Changes: </w:t>
      </w:r>
      <w:r>
        <w:t>Material changes notified; continued use = acceptance.</w:t>
      </w:r>
    </w:p>
    <w:p>
      <w:pPr>
        <w:pStyle w:val="Heading1"/>
      </w:pPr>
      <w:r>
        <w:t>2. Privacy Policy (DPDP-aligned outline)</w:t>
      </w:r>
    </w:p>
    <w:p>
      <w:pPr>
        <w:pStyle w:val="ListBullet"/>
      </w:pPr>
      <w:r>
        <w:rPr>
          <w:b/>
        </w:rPr>
        <w:t xml:space="preserve">Who we are: </w:t>
      </w:r>
      <w:r>
        <w:t>Equator Resolution, a brand of Infrabyx Consultancy (OPC) Private Limited (the Data Fiduciary).</w:t>
      </w:r>
    </w:p>
    <w:p>
      <w:pPr>
        <w:pStyle w:val="ListBullet"/>
      </w:pPr>
      <w:r>
        <w:rPr>
          <w:b/>
        </w:rPr>
        <w:t xml:space="preserve">What we collect: </w:t>
      </w:r>
      <w:r>
        <w:t>Identity, contact, KYC/KYB, case content and documents, payments, usage; special care for POSH/marital data.</w:t>
      </w:r>
    </w:p>
    <w:p>
      <w:pPr>
        <w:pStyle w:val="ListBullet"/>
      </w:pPr>
      <w:r>
        <w:rPr>
          <w:b/>
        </w:rPr>
        <w:t xml:space="preserve">Why (purposes): </w:t>
      </w:r>
      <w:r>
        <w:t>To provide dispute-resolution services, verify identity, process payments, meet legal/regulatory duties.</w:t>
      </w:r>
    </w:p>
    <w:p>
      <w:pPr>
        <w:pStyle w:val="ListBullet"/>
      </w:pPr>
      <w:r>
        <w:rPr>
          <w:b/>
        </w:rPr>
        <w:t xml:space="preserve">Legal basis &amp; consent: </w:t>
      </w:r>
      <w:r>
        <w:t>Consent (purpose-bound, withdrawable) and legitimate/legal uses; Consent-Manager-ready (DPDP Rules 2025).</w:t>
      </w:r>
    </w:p>
    <w:p>
      <w:pPr>
        <w:pStyle w:val="ListBullet"/>
      </w:pPr>
      <w:r>
        <w:rPr>
          <w:b/>
        </w:rPr>
        <w:t xml:space="preserve">Sharing: </w:t>
      </w:r>
      <w:r>
        <w:t>With neutrals/parties to a case, processors (sub-processors list §8), and regulators/courts as required.</w:t>
      </w:r>
    </w:p>
    <w:p>
      <w:pPr>
        <w:pStyle w:val="ListBullet"/>
      </w:pPr>
      <w:r>
        <w:rPr>
          <w:b/>
        </w:rPr>
        <w:t xml:space="preserve">Retention: </w:t>
      </w:r>
      <w:r>
        <w:t>Per statute and enforcement needs; consent/notice/sharing records kept ≥ 7 years (DPDP Rules).</w:t>
      </w:r>
    </w:p>
    <w:p>
      <w:pPr>
        <w:pStyle w:val="ListBullet"/>
      </w:pPr>
      <w:r>
        <w:rPr>
          <w:b/>
        </w:rPr>
        <w:t xml:space="preserve">Security: </w:t>
      </w:r>
      <w:r>
        <w:t>Encryption, field-level encryption for sensitive data, access controls, immutable audit (EQR-14).</w:t>
      </w:r>
    </w:p>
    <w:p>
      <w:pPr>
        <w:pStyle w:val="ListBullet"/>
      </w:pPr>
      <w:r>
        <w:rPr>
          <w:b/>
        </w:rPr>
        <w:t xml:space="preserve">Your rights: </w:t>
      </w:r>
      <w:r>
        <w:t>Access, correction, erasure (subject to legal holds), grievance; how to exercise them.</w:t>
      </w:r>
    </w:p>
    <w:p>
      <w:pPr>
        <w:pStyle w:val="ListBullet"/>
      </w:pPr>
      <w:r>
        <w:rPr>
          <w:b/>
        </w:rPr>
        <w:t xml:space="preserve">Breach: </w:t>
      </w:r>
      <w:r>
        <w:t>We notify the Data Protection Board and affected individuals per the DPDP 72-hour requirement.</w:t>
      </w:r>
    </w:p>
    <w:p>
      <w:pPr>
        <w:pStyle w:val="ListBullet"/>
      </w:pPr>
      <w:r>
        <w:rPr>
          <w:b/>
        </w:rPr>
        <w:t xml:space="preserve">Cross-border: </w:t>
      </w:r>
      <w:r>
        <w:t>India data stored in India; international transfers only as permitted, with safeguards.</w:t>
      </w:r>
    </w:p>
    <w:p>
      <w:pPr>
        <w:pStyle w:val="ListBullet"/>
      </w:pPr>
      <w:r>
        <w:rPr>
          <w:b/>
        </w:rPr>
        <w:t xml:space="preserve">Grievance Officer: </w:t>
      </w:r>
      <w:r>
        <w:t>Contact in §5; response within statutory timelines.</w:t>
      </w:r>
    </w:p>
    <w:p>
      <w:pPr>
        <w:pStyle w:val="Heading1"/>
      </w:pPr>
      <w:r>
        <w:t>3. Cookie Policy</w:t>
      </w:r>
    </w:p>
    <w:p>
      <w:pPr>
        <w:pStyle w:val="ListBullet"/>
      </w:pPr>
      <w:r>
        <w:t>Essential cookies (auth, security, session) — always on.</w:t>
      </w:r>
    </w:p>
    <w:p>
      <w:pPr>
        <w:pStyle w:val="ListBullet"/>
      </w:pPr>
      <w:r>
        <w:t>Preference cookies (language) — with consent.</w:t>
      </w:r>
    </w:p>
    <w:p>
      <w:pPr>
        <w:pStyle w:val="ListBullet"/>
      </w:pPr>
      <w:r>
        <w:t>Analytics cookies (consent-aware; no PII) — off until consent; decline is the default for non-essential.</w:t>
      </w:r>
    </w:p>
    <w:p>
      <w:pPr>
        <w:pStyle w:val="ListBullet"/>
      </w:pPr>
      <w:r>
        <w:t>How to manage cookies; no non-essential cookies set before consent.</w:t>
      </w:r>
    </w:p>
    <w:p>
      <w:pPr>
        <w:pStyle w:val="Heading1"/>
      </w:pPr>
      <w:r>
        <w:t>4. Disclaimer</w:t>
      </w:r>
    </w:p>
    <w:p>
      <w:pPr>
        <w:spacing w:after="120"/>
      </w:pPr>
      <w:r>
        <w:rPr>
          <w:b w:val="0"/>
        </w:rPr>
        <w:t>Information on this site, including Dispute Explorer outputs and knowledge-base content, is general and not legal advice for any specific matter. Outcomes depend on the facts and applicable law. Equator Resolution is not a law firm and does not represent any party. Neutrals are independent professionals. Statutory references are provided for information and may change.</w:t>
      </w:r>
    </w:p>
    <w:p>
      <w:pPr>
        <w:pStyle w:val="Heading1"/>
      </w:pPr>
      <w:r>
        <w:t>5. Grievance Officer (DPDP) &amp; Contact</w:t>
      </w:r>
    </w:p>
    <w:p>
      <w:pPr>
        <w:spacing w:after="120"/>
      </w:pPr>
      <w:r>
        <w:rPr>
          <w:b w:val="0"/>
        </w:rPr>
        <w:t>Grievance Officer: [Name], Equator Resolution / Infrabyx Consultancy (OPC) Private Limited, [address]. Email: grievance@equatorresolution.com. We acknowledge and respond to grievances within the timelines prescribed under the DPDP Act/Rules and applicable law. Registered presence: Singapore | New Delhi | New York | London.</w:t>
      </w:r>
    </w:p>
    <w:p>
      <w:pPr>
        <w:pStyle w:val="Heading1"/>
      </w:pPr>
      <w:r>
        <w:t>6. Acceptable Use Policy</w:t>
      </w:r>
    </w:p>
    <w:p>
      <w:pPr>
        <w:pStyle w:val="ListBullet"/>
      </w:pPr>
      <w:r>
        <w:t>No unlawful, fraudulent, harassing, or infringing activity; no attempts to impersonate or use synthetic media to deceive.</w:t>
      </w:r>
    </w:p>
    <w:p>
      <w:pPr>
        <w:pStyle w:val="ListBullet"/>
      </w:pPr>
      <w:r>
        <w:t>No circumventing security, scraping, or overloading the platform; API use within quotas and terms (EQR-06).</w:t>
      </w:r>
    </w:p>
    <w:p>
      <w:pPr>
        <w:pStyle w:val="ListBullet"/>
      </w:pPr>
      <w:r>
        <w:t>Case communications occur on-platform; off-platform contact to pressure a party is prohibited.</w:t>
      </w:r>
    </w:p>
    <w:p>
      <w:pPr>
        <w:pStyle w:val="ListBullet"/>
      </w:pPr>
      <w:r>
        <w:t>Confidentiality of others' case data must be respected; POSH/marital content is strictly protected.</w:t>
      </w:r>
    </w:p>
    <w:p>
      <w:pPr>
        <w:pStyle w:val="Heading1"/>
      </w:pPr>
      <w:r>
        <w:t>7. Dispute Explorer — Consent &amp; Notice</w:t>
      </w:r>
    </w:p>
    <w:p>
      <w:pPr>
        <w:spacing w:after="120"/>
      </w:pPr>
      <w:r>
        <w:rPr>
          <w:b w:val="0"/>
        </w:rPr>
        <w:t>Before using Dispute Explorer you consent to informational AI processing of the details you provide, for the sole purpose of giving you a non-binding view of your dispute. It is not legal advice, creates no lawyer–client or neutral relationship, and decides nothing. Only minimised, relevant data is processed; you can discard a session. See the Privacy Policy for retention and your rights.</w:t>
      </w:r>
    </w:p>
    <w:p>
      <w:pPr>
        <w:pStyle w:val="Heading1"/>
      </w:pPr>
      <w:r>
        <w:t>8. Data Processing Agreement (DPA) — template</w:t>
      </w:r>
    </w:p>
    <w:p>
      <w:pPr>
        <w:pStyle w:val="ListBullet"/>
      </w:pPr>
      <w:r>
        <w:rPr>
          <w:b/>
        </w:rPr>
        <w:t xml:space="preserve">Roles: </w:t>
      </w:r>
      <w:r>
        <w:t>For enterprise clients, defines controller/processor (or joint) roles for personal data processed on the platform.</w:t>
      </w:r>
    </w:p>
    <w:p>
      <w:pPr>
        <w:pStyle w:val="ListBullet"/>
      </w:pPr>
      <w:r>
        <w:rPr>
          <w:b/>
        </w:rPr>
        <w:t xml:space="preserve">Scope &amp; instructions: </w:t>
      </w:r>
      <w:r>
        <w:t>Processing only on documented instructions and for the agreed purposes.</w:t>
      </w:r>
    </w:p>
    <w:p>
      <w:pPr>
        <w:pStyle w:val="ListBullet"/>
      </w:pPr>
      <w:r>
        <w:rPr>
          <w:b/>
        </w:rPr>
        <w:t xml:space="preserve">Security: </w:t>
      </w:r>
      <w:r>
        <w:t>Technical and organisational measures per EQR-14; confidentiality of personnel.</w:t>
      </w:r>
    </w:p>
    <w:p>
      <w:pPr>
        <w:pStyle w:val="ListBullet"/>
      </w:pPr>
      <w:r>
        <w:rPr>
          <w:b/>
        </w:rPr>
        <w:t xml:space="preserve">Sub-processors: </w:t>
      </w:r>
      <w:r>
        <w:t>Authorised sub-processors listed below; changes notified with a right to object.</w:t>
      </w:r>
    </w:p>
    <w:p>
      <w:pPr>
        <w:pStyle w:val="ListBullet"/>
      </w:pPr>
      <w:r>
        <w:rPr>
          <w:b/>
        </w:rPr>
        <w:t xml:space="preserve">Assistance: </w:t>
      </w:r>
      <w:r>
        <w:t>Support for data-principal rights, DPIAs, and breach notification (72-hour).</w:t>
      </w:r>
    </w:p>
    <w:p>
      <w:pPr>
        <w:pStyle w:val="ListBullet"/>
      </w:pPr>
      <w:r>
        <w:rPr>
          <w:b/>
        </w:rPr>
        <w:t xml:space="preserve">Return/deletion: </w:t>
      </w:r>
      <w:r>
        <w:t>On termination, return or delete personal data subject to legal holds.</w:t>
      </w:r>
    </w:p>
    <w:p>
      <w:pPr>
        <w:pStyle w:val="ListBullet"/>
      </w:pPr>
      <w:r>
        <w:rPr>
          <w:b/>
        </w:rPr>
        <w:t xml:space="preserve">Audit: </w:t>
      </w:r>
      <w:r>
        <w:t>Reasonable audit/evidence rights; certifications (ISO/SOC) where available.</w:t>
      </w:r>
    </w:p>
    <w:p>
      <w:pPr>
        <w:pStyle w:val="Heading2"/>
      </w:pPr>
      <w:r>
        <w:t>8.1 Sub-processor list (illustrative)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Sub-processor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Data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Razorpay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Payments, escrow, payouts (India)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Payment &amp; payout details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PayPal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International payments/payouts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Payment details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Anthropic (Claude API)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Dispute Explorer, drafting assist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Minimised case text (no training by default)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NeSL / SHCIL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e-Stamp + e-Sign / DDE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Documents for execution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[Cloud provider]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Hosting (India region)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All platform data (encrypted)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[Comms provider]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Email/SMS/WhatsApp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Contact + notice content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EQR-27 v1.0 (DRAFT — for counsel review).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