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A · STRATEGY &amp; GOVERNANCE</w:t>
      </w:r>
    </w:p>
    <w:p>
      <w:pPr>
        <w:pStyle w:val="Title"/>
        <w:pBdr>
          <w:bottom w:val="single" w:sz="20" w:space="6" w:color="B98A2E"/>
        </w:pBdr>
      </w:pPr>
      <w:r>
        <w:t>Risk Register, ADR Log, Notifications &amp; Delivery Backlog</w:t>
      </w:r>
    </w:p>
    <w:p>
      <w:pPr>
        <w:spacing w:after="280"/>
      </w:pPr>
      <w:r>
        <w:rPr>
          <w:i/>
          <w:color w:val="5A6B7B"/>
          <w:sz w:val="25"/>
        </w:rPr>
        <w:t>The delivery and governance companion — a scored risk register, the architecture decision log, the notification/message template library, and a phased delivery backlog with a Phase-1 sprint plan, team and build-vs-buy view.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EQR-28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Risk Register, ADR Log, Notifications &amp; Delivery Backlog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2.0 (refreshed)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— living document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Founder / Delivery Lead / Architecture Board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EQR-01 §16–17 · EQR-15 (roadmap) · EQR-14 (controls) · EQR-06 (notifications)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Risk Register</w:t>
      </w:r>
    </w:p>
    <w:p>
      <w:pPr>
        <w:spacing w:after="120"/>
      </w:pPr>
      <w:r>
        <w:rPr>
          <w:b w:val="0"/>
        </w:rPr>
        <w:t>Scored on likelihood × impact (1–5 each; score = L×I). ‘Residual' is after mitigation. Keep this living, with named owners and a review cadence (EQR-00 §7).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72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129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L×I (inh.)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  <w:tc>
          <w:tcPr>
            <w:tcW w:type="dxa" w:w="100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Residual</w:t>
            </w:r>
          </w:p>
        </w:tc>
        <w:tc>
          <w:tcPr>
            <w:tcW w:type="dxa" w:w="11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72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R-01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Enforceability challenge to online award/settlement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4×5=20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Timestamps, custody, execution bundle, S.36/S.27 alignment (EQR-02/04)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Legal</w:t>
            </w:r>
          </w:p>
        </w:tc>
      </w:tr>
      <w:tr>
        <w:tc>
          <w:tcPr>
            <w:tcW w:type="dxa" w:w="72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R-02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DPDP breach / non-notification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3×5=15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72-hr runbook, encryption, consent, drills (EQR-14)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DPO</w:t>
            </w:r>
          </w:p>
        </w:tc>
      </w:tr>
      <w:tr>
        <w:tc>
          <w:tcPr>
            <w:tcW w:type="dxa" w:w="72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R-03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Two-sided cold start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4×4=16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Academy→empanelment; lead mandated NBFC volume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Founder</w:t>
            </w:r>
          </w:p>
        </w:tc>
      </w:tr>
      <w:tr>
        <w:tc>
          <w:tcPr>
            <w:tcW w:type="dxa" w:w="72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R-04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POSH/marital confidentiality breach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2×5=10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Field-encryption, need-to-know, break-glass (EQR-14)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CISO</w:t>
            </w:r>
          </w:p>
        </w:tc>
      </w:tr>
      <w:tr>
        <w:tc>
          <w:tcPr>
            <w:tcW w:type="dxa" w:w="72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R-05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AI error/bias in Explorer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3×4=12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Advisory-only, grounding, governance (EQR-07/14)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Head of AI</w:t>
            </w:r>
          </w:p>
        </w:tc>
      </w:tr>
      <w:tr>
        <w:tc>
          <w:tcPr>
            <w:tcW w:type="dxa" w:w="72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R-06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Regulatory change (Arb. Bill, DPDP)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4×3=12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Config-over-code, ruleset versioning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Legal/Arch</w:t>
            </w:r>
          </w:p>
        </w:tc>
      </w:tr>
      <w:tr>
        <w:tc>
          <w:tcPr>
            <w:tcW w:type="dxa" w:w="72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R-07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Incumbent competition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4×3=12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Multi-segment breadth + transparent pricing + Private Court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Founder</w:t>
            </w:r>
          </w:p>
        </w:tc>
      </w:tr>
      <w:tr>
        <w:tc>
          <w:tcPr>
            <w:tcW w:type="dxa" w:w="72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R-08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Payment/escrow failure or fraud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2×4=8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Reconciliation, escrow controls, PCI via processors (EQR-08)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Finance</w:t>
            </w:r>
          </w:p>
        </w:tc>
      </w:tr>
      <w:tr>
        <w:tc>
          <w:tcPr>
            <w:tcW w:type="dxa" w:w="72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R-09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Key-person / hiring bottleneck</w:t>
            </w:r>
          </w:p>
        </w:tc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3×3=9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Documented specs (this set), phased hiring plan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Founder</w:t>
            </w:r>
          </w:p>
        </w:tc>
      </w:tr>
      <w:tr>
        <w:tc>
          <w:tcPr>
            <w:tcW w:type="dxa" w:w="72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R-10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Scope/focus dilution</w:t>
            </w:r>
          </w:p>
        </w:tc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4×3=12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Sequencing (win one lane first), phase gates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Founder</w:t>
            </w:r>
          </w:p>
        </w:tc>
      </w:tr>
    </w:tbl>
    <w:p>
      <w:pPr>
        <w:spacing w:after="40"/>
      </w:pPr>
    </w:p>
    <w:p>
      <w:pPr>
        <w:pStyle w:val="Heading1"/>
      </w:pPr>
      <w:r>
        <w:t>2. Architecture Decision Records (ADR log)</w:t>
      </w:r>
    </w:p>
    <w:p>
      <w:pPr>
        <w:spacing w:after="120"/>
      </w:pPr>
      <w:r>
        <w:rPr>
          <w:b w:val="0"/>
        </w:rPr>
        <w:t>Key decisions, why, and the trade-off accepted. Each ADR is immutable once accepted; superseding decisions get a new ID.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9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ADR</w:t>
            </w:r>
          </w:p>
        </w:tc>
        <w:tc>
          <w:tcPr>
            <w:tcW w:type="dxa" w:w="33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47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Rationale / trade-off</w:t>
            </w:r>
          </w:p>
        </w:tc>
      </w:tr>
      <w:tr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ADR-01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Configuration over code (rulesets)</w:t>
            </w:r>
          </w:p>
        </w:tc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Multi-segment/jurisdiction without rewrites; cost: a Ruleset Studio to build (EQR-15 #1)</w:t>
            </w:r>
          </w:p>
        </w:tc>
      </w:tr>
      <w:tr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ADR-02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Event-sourced core + CQRS</w:t>
            </w:r>
          </w:p>
        </w:tc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Auditability, replay, case-status/regulator reads; cost: added complexity (EQR-21)</w:t>
            </w:r>
          </w:p>
        </w:tc>
      </w:tr>
      <w:tr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ADR-03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AI advisory-only, human-in-the-loop</w:t>
            </w:r>
          </w:p>
        </w:tc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Legal defensibility &amp; trust; cost: slower than full automation (EQR-07)</w:t>
            </w:r>
          </w:p>
        </w:tc>
      </w:tr>
      <w:tr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ADR-04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Multi-tenant, logical isolation + RLS</w:t>
            </w:r>
          </w:p>
        </w:tc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Shared engine, per-tenant config; cost: strict policy discipline (EQR-22)</w:t>
            </w:r>
          </w:p>
        </w:tc>
      </w:tr>
      <w:tr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ADR-05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Payments split at source (Route) + escrow</w:t>
            </w:r>
          </w:p>
        </w:tc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Transparent neutral payouts; cost: processor coupling (EQR-08)</w:t>
            </w:r>
          </w:p>
        </w:tc>
      </w:tr>
      <w:tr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ADR-06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India-region residency + DR region</w:t>
            </w:r>
          </w:p>
        </w:tc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DPDP compliance &amp; resilience; cost: infra spend (EQR-23)</w:t>
            </w:r>
          </w:p>
        </w:tc>
      </w:tr>
      <w:tr>
        <w:tc>
          <w:tcPr>
            <w:tcW w:type="dxa" w:w="12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ADR-07</w:t>
            </w:r>
          </w:p>
        </w:tc>
        <w:tc>
          <w:tcPr>
            <w:tcW w:type="dxa" w:w="33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Schema-driven forms</w:t>
            </w:r>
          </w:p>
        </w:tc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UI/API/DB stay in lockstep; cost: a form engine to build (EQR-20)</w:t>
            </w:r>
          </w:p>
        </w:tc>
      </w:tr>
      <w:tr>
        <w:tc>
          <w:tcPr>
            <w:tcW w:type="dxa" w:w="12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ADR-08</w:t>
            </w:r>
          </w:p>
        </w:tc>
        <w:tc>
          <w:tcPr>
            <w:tcW w:type="dxa" w:w="33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Next.js SSR for public, CSR app</w:t>
            </w:r>
          </w:p>
        </w:tc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SEO + rich app; cost: two rendering modes (EQR-25/26)</w:t>
            </w:r>
          </w:p>
        </w:tc>
      </w:tr>
    </w:tbl>
    <w:p>
      <w:pPr>
        <w:spacing w:after="40"/>
      </w:pPr>
    </w:p>
    <w:p>
      <w:pPr>
        <w:pStyle w:val="Heading1"/>
      </w:pPr>
      <w:r>
        <w:t>3. Notification &amp; Message Template Library</w:t>
      </w:r>
    </w:p>
    <w:p>
      <w:pPr>
        <w:spacing w:after="120"/>
      </w:pPr>
      <w:r>
        <w:rPr>
          <w:b w:val="0"/>
        </w:rPr>
        <w:t>Catalog of transactional messages; channels per trigger. Content is i18n-keyed (EQR-25) and on-platform-first (EQR-14). Skeletons only — final copy per EQR-10 voice.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230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Channels</w:t>
            </w:r>
          </w:p>
        </w:tc>
        <w:tc>
          <w:tcPr>
            <w:tcW w:type="dxa" w:w="460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Content skeleton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Case filed / acknowledged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Email, in-app, SMS</w:t>
            </w:r>
          </w:p>
        </w:tc>
        <w:tc>
          <w:tcPr>
            <w:tcW w:type="dxa" w:w="46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‘Your case {id} is filed. Track it here {link}.'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Response due (clock)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Push, in-app, SMS</w:t>
            </w:r>
          </w:p>
        </w:tc>
        <w:tc>
          <w:tcPr>
            <w:tcW w:type="dxa" w:w="46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‘A response in case {id} is due by {date}. Respond {link}.'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Neutral appointed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Email, in-app</w:t>
            </w:r>
          </w:p>
        </w:tc>
        <w:tc>
          <w:tcPr>
            <w:tcW w:type="dxa" w:w="46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‘{Neutral} has been appointed to case {id}.'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Hearing scheduled/reminder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Push, email, SMS/WhatsApp</w:t>
            </w:r>
          </w:p>
        </w:tc>
        <w:tc>
          <w:tcPr>
            <w:tcW w:type="dxa" w:w="46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‘Hearing for {id} on {datetime}. Join {link}.'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Payment due / receipt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Email, in-app</w:t>
            </w:r>
          </w:p>
        </w:tc>
        <w:tc>
          <w:tcPr>
            <w:tcW w:type="dxa" w:w="46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‘Fee {amount} due for {id}. Pay {link}.' / receipt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Outcome signed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Email, in-app</w:t>
            </w:r>
          </w:p>
        </w:tc>
        <w:tc>
          <w:tcPr>
            <w:tcW w:type="dxa" w:w="46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‘The {award/settlement} in {id} is signed &amp; stamped. Download {link}.'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Settlement paid / payout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Email, in-app</w:t>
            </w:r>
          </w:p>
        </w:tc>
        <w:tc>
          <w:tcPr>
            <w:tcW w:type="dxa" w:w="46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‘Funds released for {id}.' / ‘Payout {amount} sent.'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Clock amber/red (internal)</w:t>
            </w:r>
          </w:p>
        </w:tc>
        <w:tc>
          <w:tcPr>
            <w:tcW w:type="dxa" w:w="230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In-app, ops alert</w:t>
            </w:r>
          </w:p>
        </w:tc>
        <w:tc>
          <w:tcPr>
            <w:tcW w:type="dxa" w:w="46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Compliance Cockpit alert (EQR-23)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Escalation received (enterprise)</w:t>
            </w:r>
          </w:p>
        </w:tc>
        <w:tc>
          <w:tcPr>
            <w:tcW w:type="dxa" w:w="230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Webhook, email</w:t>
            </w:r>
          </w:p>
        </w:tc>
        <w:tc>
          <w:tcPr>
            <w:tcW w:type="dxa" w:w="46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‘Ticket {ref} escalated → case {id}.'</w:t>
            </w:r>
          </w:p>
        </w:tc>
      </w:tr>
    </w:tbl>
    <w:p>
      <w:pPr>
        <w:spacing w:after="40"/>
      </w:pPr>
    </w:p>
    <w:p>
      <w:pPr>
        <w:pStyle w:val="Heading1"/>
      </w:pPr>
      <w:r>
        <w:t>4. Delivery Backlog (epics → stories)</w:t>
      </w:r>
    </w:p>
    <w:p>
      <w:pPr>
        <w:spacing w:after="120"/>
      </w:pPr>
      <w:r>
        <w:rPr>
          <w:b w:val="0"/>
        </w:rPr>
        <w:t>Epics mapped to the phased roadmap (EQR-01 §16). Each epic decomposes into stories with acceptance criteria (EQR-24). Illustrative slice below.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Epic</w:t>
            </w:r>
          </w:p>
        </w:tc>
        <w:tc>
          <w:tcPr>
            <w:tcW w:type="dxa" w:w="4896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Sample stories</w:t>
            </w:r>
          </w:p>
        </w:tc>
        <w:tc>
          <w:tcPr>
            <w:tcW w:type="dxa" w:w="100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Phase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E1 Identity &amp; onboarding</w:t>
            </w:r>
          </w:p>
        </w:tc>
        <w:tc>
          <w:tcPr>
            <w:tcW w:type="dxa" w:w="48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Party reg (F1), KYC (VideoKYC/DigiLocker), entity KYB, MFA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E2 Intake &amp; case engine</w:t>
            </w:r>
          </w:p>
        </w:tc>
        <w:tc>
          <w:tcPr>
            <w:tcW w:type="dxa" w:w="48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Filing wizard (F5), scrutiny, state machine, clocks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E3 One pillar E2E (NBFC/commercial)</w:t>
            </w:r>
          </w:p>
        </w:tc>
        <w:tc>
          <w:tcPr>
            <w:tcW w:type="dxa" w:w="48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Conciliation→arbitration, notice, e-sign/e-stamp, execution bundle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E4 Payments</w:t>
            </w:r>
          </w:p>
        </w:tc>
        <w:tc>
          <w:tcPr>
            <w:tcW w:type="dxa" w:w="48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Razorpay, invoice, split, escrow, receipts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E5 Dispute Explorer</w:t>
            </w:r>
          </w:p>
        </w:tc>
        <w:tc>
          <w:tcPr>
            <w:tcW w:type="dxa" w:w="48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Guided intake, Claude call, viability report, hand-off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E6 Neutral supply</w:t>
            </w:r>
          </w:p>
        </w:tc>
        <w:tc>
          <w:tcPr>
            <w:tcW w:type="dxa" w:w="48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Empanelment, allocation, conflict check, payouts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E7 Trust segments</w:t>
            </w:r>
          </w:p>
        </w:tc>
        <w:tc>
          <w:tcPr>
            <w:tcW w:type="dxa" w:w="48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Family &amp; POSH modules, confidentiality tiers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E8 Private Court + API</w:t>
            </w:r>
          </w:p>
        </w:tc>
        <w:tc>
          <w:tcPr>
            <w:tcW w:type="dxa" w:w="48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Tenant setup, embed/white-label, escalation, PayPal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E9 Mobile apps</w:t>
            </w:r>
          </w:p>
        </w:tc>
        <w:tc>
          <w:tcPr>
            <w:tcW w:type="dxa" w:w="489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Party &amp; neutral apps (EQR-11)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E10 Cross-border &amp; AI depth</w:t>
            </w:r>
          </w:p>
        </w:tc>
        <w:tc>
          <w:tcPr>
            <w:tcW w:type="dxa" w:w="4896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International modules, AI-facilitated settlement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</w:tr>
    </w:tbl>
    <w:p>
      <w:pPr>
        <w:spacing w:after="40"/>
      </w:pPr>
    </w:p>
    <w:p>
      <w:pPr>
        <w:pStyle w:val="Heading2"/>
      </w:pPr>
      <w:r>
        <w:t>4.1 Phase-1 sprint plan (illustrative, 2-week sprints)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763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Goal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S1–S2</w:t>
            </w:r>
          </w:p>
        </w:tc>
        <w:tc>
          <w:tcPr>
            <w:tcW w:type="dxa" w:w="76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Foundations: identity, tenancy, design system, CI/CD, DB core (EQR-19/21/22/23)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S3–S4</w:t>
            </w:r>
          </w:p>
        </w:tc>
        <w:tc>
          <w:tcPr>
            <w:tcW w:type="dxa" w:w="76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Intake &amp; case engine + form engine (E1, E2, EQR-20)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S5–S6</w:t>
            </w:r>
          </w:p>
        </w:tc>
        <w:tc>
          <w:tcPr>
            <w:tcW w:type="dxa" w:w="76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One-pillar proceedings + notice + e-sign/e-stamp (E3)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S7</w:t>
            </w:r>
          </w:p>
        </w:tc>
        <w:tc>
          <w:tcPr>
            <w:tcW w:type="dxa" w:w="76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Payments + escrow (E4)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S8</w:t>
            </w:r>
          </w:p>
        </w:tc>
        <w:tc>
          <w:tcPr>
            <w:tcW w:type="dxa" w:w="76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Dispute Explorer v1 (E5)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S9</w:t>
            </w:r>
          </w:p>
        </w:tc>
        <w:tc>
          <w:tcPr>
            <w:tcW w:type="dxa" w:w="763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Case-status explorer + dashboards + hardening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S10</w:t>
            </w:r>
          </w:p>
        </w:tc>
        <w:tc>
          <w:tcPr>
            <w:tcW w:type="dxa" w:w="763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UAT, security &amp; a11y pass, ‘first award' dry-run, launch prep</w:t>
            </w:r>
          </w:p>
        </w:tc>
      </w:tr>
    </w:tbl>
    <w:p>
      <w:pPr>
        <w:spacing w:after="40"/>
      </w:pPr>
    </w:p>
    <w:p>
      <w:pPr>
        <w:pStyle w:val="Heading1"/>
      </w:pPr>
      <w:r>
        <w:t>5. Team &amp; Build-vs-Buy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Phase-1 need</w:t>
            </w:r>
          </w:p>
        </w:tc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Build vs buy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Engineering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2 FE, 3 BE, 1 platform/SRE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Build core; buy payments/eSign/video/AI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Product/Design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1 PM, 1 designer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Build design system (EQR-19)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Legal-ops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1–2 (rulesets, modules)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Build rulesets; outside counsel for review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QA/Sec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1 QA (+ pen-test vendor)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Buy pen-test; build test suites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Neutral supply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Panel lead + Academy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Partner (IMI/ACI) for accreditation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Living document.  </w:t>
            </w:r>
            <w:r>
              <w:rPr>
                <w:color w:val="1A1A1A"/>
                <w:sz w:val="19"/>
              </w:rPr>
              <w:t>The register, ADR log and backlog belong in version control with owners and the review cadence (EQR-00 §7). Advisory-grade is a process, not a one-time artefact.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EQR-28 v2.0.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EQR-28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