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C · PRODUCT &amp; PROCESS</w:t>
      </w:r>
    </w:p>
    <w:p>
      <w:pPr>
        <w:pStyle w:val="Title"/>
        <w:pBdr>
          <w:bottom w:val="single" w:sz="20" w:space="6" w:color="B98A2E"/>
        </w:pBdr>
      </w:pPr>
      <w:r>
        <w:t>End-to-End Worked Case Walkthroughs</w:t>
      </w:r>
    </w:p>
    <w:p>
      <w:pPr>
        <w:spacing w:after="280"/>
      </w:pPr>
      <w:r>
        <w:rPr>
          <w:i/>
          <w:color w:val="5A6B7B"/>
          <w:sz w:val="25"/>
        </w:rPr>
        <w:t>One fully-traced synthetic case per dispute pillar — every actor, event, document, clock, money movement and outcome from filing to execution — so the whole platform is visible in motion, not just in specification.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EQR-29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End-to-End Worked Case Walkthroughs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— illustrative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Head of ODR / Product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Data note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All parties, amounts and dates are SYNTHETIC and for illustration only.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EQR-02 (engine) · EQR-03 (modules) · EQR-16 (diagrams) · EQR-21 (events)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How to Read a Walkthrough</w:t>
      </w:r>
    </w:p>
    <w:p>
      <w:pPr>
        <w:spacing w:after="120"/>
      </w:pPr>
      <w:r>
        <w:rPr>
          <w:b w:val="0"/>
        </w:rPr>
        <w:t>Each walkthrough follows one case through the platform end-to-end. It has a scenario, a cast, an event trace (with timestamps, states, domain events and clocks), the money movements, the documents produced, and the enforceable outcome. Read alongside the state machine (EQR-02 §3), the event catalog (EQR-21 §5) and the diagrams (EQR-16).</w:t>
      </w:r>
    </w:p>
    <w:p>
      <w:pPr>
        <w:pStyle w:val="Heading1"/>
      </w:pPr>
      <w:r>
        <w:t>2. NBFC ↔ Borrower — bulk-driven conciliation → arbitration</w:t>
      </w:r>
    </w:p>
    <w:p>
      <w:pPr>
        <w:spacing w:after="120"/>
      </w:pPr>
      <w:r>
        <w:rPr>
          <w:b w:val="0"/>
        </w:rPr>
        <w:t>Scenario: Arcus Finance (NBFC) refers 1,180 defaulted personal loans by API. We follow one — borrower Meera Rao, ₹1,80,000 outstanding, loan clause routes disputes to Equator.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Cast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Meera Rao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Borrower (Respondent)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Arcus Finance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Lender (Claimant), enterprise tenant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Nodal officer (Arcus)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Grievance intake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Neutral — R. Iyer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Conciliator, then arbitrator on failure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Case manager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Equator EDRS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State → event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What happens</w:t>
            </w:r>
          </w:p>
        </w:tc>
        <w:tc>
          <w:tcPr>
            <w:tcW w:type="dxa" w:w="11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Clock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0, 10:02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Draft → case.filed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Bulk batch #B-1180 posted via POST /escalations; case EQR-2026-004821 created; borrower consent captured from loan clause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0, 10:03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Filed → scrutiny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Auto-scrutiny: clause valid, amount matched, jurisdiction ok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0, 10:05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Accepted → notice.served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Notice served to Meera by SMS+email+WhatsApp; service certificate SC-8841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30-day RBI grievance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2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 proceedings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Conciliation opens; R. Iyer allotted round-robin; conflict check clear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Concil. window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9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hearing.held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Video conciliation; Arcus offers 12-instalment settlement of ₹1,50,000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9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settlement.drafted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Meera accepts; settlement terms + schedule captured (F15)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award.signed / stamped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Settlement e-signed (Aadhaar eSign), e-stamped via NeSL; certified copy issued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10 → monthly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settlement.paid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First instalment via Razorpay; escrow releases to Arcus; schedule tracked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Month 12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case.closed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Final instalment paid; matter closed; SmartExecution tracker green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Money trace.  </w:t>
            </w:r>
            <w:r>
              <w:rPr>
                <w:color w:val="1A1A1A"/>
                <w:sz w:val="19"/>
              </w:rPr>
              <w:t>Party fee ₹999 (Razorpay) split via Route: platform ₹699 + neutral ₹300. Settlement instalments flow borrower → escrow → Arcus. Neutral fee note ₹2,500 paid via RazorpayX Payouts; TDS deducted. Had conciliation failed, the same neutral would proceed to arbitration and a s.36-enforceable award.</w:t>
            </w:r>
          </w:p>
        </w:tc>
      </w:tr>
    </w:tbl>
    <w:p>
      <w:pPr>
        <w:spacing w:after="40"/>
      </w:pPr>
    </w:p>
    <w:p>
      <w:pPr>
        <w:pStyle w:val="Heading1"/>
      </w:pPr>
      <w:r>
        <w:t>3. Commercial / MSME — arbitration with a reasoned award</w:t>
      </w:r>
    </w:p>
    <w:p>
      <w:pPr>
        <w:spacing w:after="120"/>
      </w:pPr>
      <w:r>
        <w:rPr>
          <w:b w:val="0"/>
        </w:rPr>
        <w:t>Scenario: A Traders (MSME supplier) vs. B Supplies Pvt Ltd; ₹4,50,000 for undelivered goods; PO has an arbitration clause. A Traders is Udyam-registered → MSME sub-track available; parties proceed under the PO arbitration clause.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State → event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What happens</w:t>
            </w:r>
          </w:p>
        </w:tc>
        <w:tc>
          <w:tcPr>
            <w:tcW w:type="dxa" w:w="11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Clock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case.filed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 Traders files (F5/F8) via Dispute Explorer hand-off; PO.pdf uploaded, hashed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3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scrutiny cleared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Clause valid; sole-arbitrator per clause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6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neutral.appointed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Arbitrator appointed; ToR signed; seat = Jaipur, law = India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8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notice.served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Notice + SoC served to B Supplies; ack captured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8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Pleadings: SoC, SoD (denies delivery), counter-claim for storage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S.29A starts on completion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30–60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hearing.held ×2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Video hearings; evidence admitted (invoices, transport)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95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award.drafted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Reasoned award: ₹4,50,000 + 12% interest to A Traders; maker–checker review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within 12m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98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award.signed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Digitally signed by tribunal, e-stamped, qualified timestamp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98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Certified award + execution bundle generated (award, ToR, service, signatures, custody)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S.34 window 3m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190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 execution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 s.34 challenge; award enforceable as decree (s.36); execution petition filed, tracked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4. Family / Matrimonial — confidential mediation with an MSA</w:t>
      </w:r>
    </w:p>
    <w:p>
      <w:pPr>
        <w:spacing w:after="120"/>
      </w:pPr>
      <w:r>
        <w:rPr>
          <w:b w:val="0"/>
        </w:rPr>
        <w:t>Scenario: Ananya and Vikram seek mutual-consent divorce terms — maintenance and a parenting plan for one child. Highest confidentiality tier; custody flagged non-arbitrable.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State → event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What happens</w:t>
            </w:r>
          </w:p>
        </w:tc>
        <w:tc>
          <w:tcPr>
            <w:tcW w:type="dxa" w:w="11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Clock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case.filed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Family intake (F7); sensitive flags set; tier = POSH/Marital; identity field-encrypted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neutral.appointed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Mediator (family-panel) appointed; counsellor added on request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120-day mediation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5–40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hearing.held (caucus)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Joint + confidential caucus sessions; parenting-plan builder used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45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settlement.drafted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MSA: maintenance ₹25,000/mo, parenting plan, asset split; custody terms consent-based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47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award.signed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MSA signed + mediator-authenticated + e-stamped (s.27)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47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case.closed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Certified MSA issued; consent terms placeable before family court for divorce decree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Confidentiality trace.  </w:t>
            </w:r>
            <w:r>
              <w:rPr>
                <w:color w:val="1A1A1A"/>
                <w:sz w:val="19"/>
              </w:rPr>
              <w:t>No POSH/marital record appears in general dashboards or public case-status search. Access limited to the two parties, the mediator and the counsellor; every access logged (break-glass). The MSA is enforceable under s.27 Mediation Act 2023 as a decree.</w:t>
            </w:r>
          </w:p>
        </w:tc>
      </w:tr>
    </w:tbl>
    <w:p>
      <w:pPr>
        <w:spacing w:after="40"/>
      </w:pPr>
    </w:p>
    <w:p>
      <w:pPr>
        <w:pStyle w:val="Heading1"/>
      </w:pPr>
      <w:r>
        <w:t>5. Enterprise Grievance / POSH — internal inquiry → escalation</w:t>
      </w:r>
    </w:p>
    <w:p>
      <w:pPr>
        <w:spacing w:after="120"/>
      </w:pPr>
      <w:r>
        <w:rPr>
          <w:b w:val="0"/>
        </w:rPr>
        <w:t>Scenario: An employee files a POSH complaint at NimbusCo; single-window routes to the IC; unresolved point escalates to EDRS with consent.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State → event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What happens</w:t>
            </w:r>
          </w:p>
        </w:tc>
        <w:tc>
          <w:tcPr>
            <w:tcW w:type="dxa" w:w="11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Clock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grievance.filed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POSH complaint (F11) via single window; tier POSH; narrative field-encrypted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90-day inquiry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Auto-routes to IC (≥50% women, external member); respondent notified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3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Interim measure: work reassignment pending inquiry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10–70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Confidential inquiry; evidence, witness statements; both sides heard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80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IC recommendation; employer actions it; annual-report entry logged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85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escalation.received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Contested monetary relief escalated to EDRS (consent) → mediation case created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110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settlement.paid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Mediated settlement; compensation via escrow; closed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6. International — cross-border commercial arbitration</w:t>
      </w:r>
    </w:p>
    <w:p>
      <w:pPr>
        <w:spacing w:after="120"/>
      </w:pPr>
      <w:r>
        <w:rPr>
          <w:b w:val="0"/>
        </w:rPr>
        <w:t>Scenario: Zenith Exports (India) vs. Orion GmbH (Germany); ₹ / EUR export-import dispute; seat Singapore, governing law India; enforcement targeted in Germany.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State → event</w:t>
            </w:r>
          </w:p>
        </w:tc>
        <w:tc>
          <w:tcPr>
            <w:tcW w:type="dxa" w:w="36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What happens</w:t>
            </w:r>
          </w:p>
        </w:tc>
        <w:tc>
          <w:tcPr>
            <w:tcW w:type="dxa" w:w="11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Clock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case.filed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International intake (F26); seat=Singapore, law=India, language=English; PayPal fee (EUR)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5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neutral.appointed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Three-member tribunal; party nomination + institutional appointment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notice.served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Cross-border service; translations attached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30–120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hearing.held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Virtual hearings; documentary evidence; interpreter support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S.29A-equivalent per rules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150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award.signed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Reasoned award in EUR; signed, timestamped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150</w:t>
            </w:r>
          </w:p>
        </w:tc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36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New York Convention provenance pack assembled (award, agreement, seat, signatures, translations)</w:t>
            </w:r>
          </w:p>
        </w:tc>
        <w:tc>
          <w:tcPr>
            <w:tcW w:type="dxa" w:w="11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72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Day 165</w:t>
            </w:r>
          </w:p>
        </w:tc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 execution</w:t>
            </w:r>
          </w:p>
        </w:tc>
        <w:tc>
          <w:tcPr>
            <w:tcW w:type="dxa" w:w="36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Enforcement pursued before German court under the NY Convention</w:t>
            </w:r>
          </w:p>
        </w:tc>
        <w:tc>
          <w:tcPr>
            <w:tcW w:type="dxa" w:w="11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Cross-border trace.  </w:t>
            </w:r>
            <w:r>
              <w:rPr>
                <w:color w:val="1A1A1A"/>
                <w:sz w:val="19"/>
              </w:rPr>
              <w:t>Fees collected via PayPal (multi-currency); neutral payouts via PayPal Payouts. The outcome is packaged for foreign enforcement under the New York Convention; had it been a mediated settlement, the Singapore Convention pathway would apply (India signed, not yet ratified — flagged in-product).</w:t>
            </w:r>
          </w:p>
        </w:tc>
      </w:tr>
    </w:tbl>
    <w:p>
      <w:pPr>
        <w:spacing w:after="40"/>
      </w:pPr>
    </w:p>
    <w:p>
      <w:pPr>
        <w:pStyle w:val="Heading1"/>
      </w:pPr>
      <w:r>
        <w:t>7. What the Walkthroughs Demonstrate</w:t>
      </w:r>
    </w:p>
    <w:p>
      <w:pPr>
        <w:pStyle w:val="ListBullet"/>
      </w:pPr>
      <w:r>
        <w:t>One engine, five very different journeys — differentiated only by ruleset, tier and enforcement route.</w:t>
      </w:r>
    </w:p>
    <w:p>
      <w:pPr>
        <w:pStyle w:val="ListBullet"/>
      </w:pPr>
      <w:r>
        <w:t>Every material step is an event (EQR-21) that drives notice, finance, analytics and the case-status explorer.</w:t>
      </w:r>
    </w:p>
    <w:p>
      <w:pPr>
        <w:pStyle w:val="ListBullet"/>
      </w:pPr>
      <w:r>
        <w:t>Money, documents and clocks are first-class and traceable end-to-end.</w:t>
      </w:r>
    </w:p>
    <w:p>
      <w:pPr>
        <w:pStyle w:val="ListBullet"/>
      </w:pPr>
      <w:r>
        <w:t>The outcome is never the finish line — each case ends in a packaged, tracked execution (SmartExecution).</w:t>
      </w:r>
    </w:p>
    <w:p>
      <w:pPr>
        <w:spacing w:after="120"/>
      </w:pPr>
      <w:r>
        <w:rPr>
          <w:b w:val="0"/>
          <w:color w:val="5A6B7B"/>
          <w:sz w:val="18"/>
        </w:rPr>
        <w:t>End of EQR-29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EQR-29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