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C · PRODUCT &amp; PROCESS</w:t>
      </w:r>
    </w:p>
    <w:p>
      <w:pPr>
        <w:pStyle w:val="Title"/>
        <w:pBdr>
          <w:bottom w:val="single" w:sz="20" w:space="6" w:color="B98A2E"/>
        </w:pBdr>
      </w:pPr>
      <w:r>
        <w:t>Dispute Playbooks — Deep-Dive</w:t>
      </w:r>
    </w:p>
    <w:p>
      <w:pPr>
        <w:spacing w:after="280"/>
      </w:pPr>
      <w:r>
        <w:rPr>
          <w:i/>
          <w:color w:val="5A6B7B"/>
          <w:sz w:val="25"/>
        </w:rPr>
        <w:t>Practitioner-grade playbooks per pillar: both-side strategy, remedies, leading case law, decision trees, model ADR clauses, day-by-day timelines and the exact steps to execute an outcome.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Playbooks — Deep-Dive (with case law &amp; model clauses)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General Counsel / Legal-Ops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Practitioner reference, NOT legal advice for a specific matter. Case-law positions are dated; verify current law before relying.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EQR-03 (modules) · EQR-04 (law) · EQR-29 (worked cases) · EQR-41 (limitation)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Model ADR Clauses (drop-in)</w:t>
      </w:r>
    </w:p>
    <w:p>
      <w:pPr>
        <w:spacing w:after="120"/>
      </w:pPr>
      <w:r>
        <w:rPr>
          <w:b w:val="0"/>
        </w:rPr>
        <w:t>Ready clauses that route disputes to Equator. Adapt bracketed items; have counsel confirm for the contract and jurisdiction.</w:t>
      </w:r>
    </w:p>
    <w:p>
      <w:pPr>
        <w:pStyle w:val="Heading2"/>
      </w:pPr>
      <w:r>
        <w:t>1.1 Arbitration clause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Clause  </w:t>
            </w:r>
            <w:r>
              <w:rPr>
                <w:color w:val="1A1A1A"/>
                <w:sz w:val="19"/>
              </w:rPr>
              <w:t>“Any dispute arising out of or in connection with this agreement shall be finally resolved by arbitration administered by Equator Resolution under its Rules, by a [sole arbitrator / tribunal of three]. The seat shall be [city], the language [English], and the governing law [Indian law]. The award shall be final and binding and enforceable under the Arbitration and Conciliation Act, 1996.”</w:t>
            </w:r>
          </w:p>
        </w:tc>
      </w:tr>
    </w:tbl>
    <w:p>
      <w:pPr>
        <w:spacing w:after="40"/>
      </w:pPr>
    </w:p>
    <w:p>
      <w:pPr>
        <w:pStyle w:val="Heading2"/>
      </w:pPr>
      <w:r>
        <w:t>1.2 Mediation / Med-Arb clause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Clause  </w:t>
            </w:r>
            <w:r>
              <w:rPr>
                <w:color w:val="1A1A1A"/>
                <w:sz w:val="19"/>
              </w:rPr>
              <w:t>“The parties shall first attempt to resolve any dispute by mediation administered by Equator Resolution under the Mediation Act, 2023. If unresolved within [60] days, the dispute shall be referred to arbitration under Equator's Rules (seat [city], [Indian] law).”</w:t>
            </w:r>
          </w:p>
        </w:tc>
      </w:tr>
    </w:tbl>
    <w:p>
      <w:pPr>
        <w:spacing w:after="40"/>
      </w:pPr>
    </w:p>
    <w:p>
      <w:pPr>
        <w:pStyle w:val="Heading2"/>
      </w:pPr>
      <w:r>
        <w:t>1.3 SEBI SMART-ODR &amp; NBFC clauses</w:t>
      </w:r>
    </w:p>
    <w:p>
      <w:pPr>
        <w:pStyle w:val="ListBullet"/>
      </w:pPr>
      <w:r>
        <w:t>Securities: adopt the SEBI SMART-ODR sequence (pre-conciliation → conciliation → arbitration) by reference.</w:t>
      </w:r>
    </w:p>
    <w:p>
      <w:pPr>
        <w:pStyle w:val="ListBullet"/>
      </w:pPr>
      <w:r>
        <w:t>Lending: “Disputes shall be referred to Online Dispute Resolution via Equator Resolution; the borrower's grievance shall first be addressed by the nodal officer within 30 days (RBI).”</w:t>
      </w:r>
    </w:p>
    <w:p>
      <w:pPr>
        <w:pStyle w:val="Heading1"/>
      </w:pPr>
      <w:r>
        <w:t>2. Family &amp; Matrimonial — playbook</w:t>
      </w:r>
    </w:p>
    <w:p>
      <w:pPr>
        <w:pStyle w:val="Heading2"/>
      </w:pPr>
      <w:r>
        <w:t>2.1 Strategy by side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Claimant (e.g., spouse seeking terms)</w:t>
            </w:r>
          </w:p>
        </w:tc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Respondent</w:t>
            </w:r>
          </w:p>
        </w:tc>
      </w:tr>
      <w:tr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Prioritise child welfare &amp; a durable parenting plan; document maintenance need; seek interim arrangements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Engage early to shape terms; propose realistic maintenance; protect access rights; avoid default</w:t>
            </w:r>
          </w:p>
        </w:tc>
      </w:tr>
    </w:tbl>
    <w:p>
      <w:pPr>
        <w:spacing w:after="40"/>
      </w:pPr>
    </w:p>
    <w:p>
      <w:pPr>
        <w:pStyle w:val="Heading2"/>
      </w:pPr>
      <w:r>
        <w:t>2.2 Arbitrability &amp; law</w:t>
      </w:r>
    </w:p>
    <w:p>
      <w:pPr>
        <w:spacing w:after="120"/>
      </w:pPr>
      <w:r>
        <w:rPr>
          <w:b w:val="0"/>
        </w:rPr>
        <w:t>Marital status and custody adjudication are non-arbitrable (encode as flags); monetisable sub-issues can settle by consent. Anchors: Mediation Act 2023 (enforcement s.27), Family Courts Act 1984 (s.9 duty to settle), Guardians and Wards Act, DV Act 2005 (referrals). Leading themes: welfare-of-child paramountcy; mutual-consent divorce requires the statutory cooling-off unless waived by the court.</w:t>
      </w:r>
    </w:p>
    <w:p>
      <w:pPr>
        <w:pStyle w:val="Heading2"/>
      </w:pPr>
      <w:r>
        <w:t>2.3 Decision tree</w:t>
      </w:r>
    </w:p>
    <w:p>
      <w:pPr>
        <w:pStyle w:val="ListBullet"/>
      </w:pPr>
      <w:r>
        <w:t>Is custody/status in dispute? → non-arbitrable; mediate, place consent terms before the family court.</w:t>
      </w:r>
    </w:p>
    <w:p>
      <w:pPr>
        <w:pStyle w:val="ListBullet"/>
      </w:pPr>
      <w:r>
        <w:t>Only money (maintenance/assets)? → mediation → MSA (s.27) enforceable as decree.</w:t>
      </w:r>
    </w:p>
    <w:p>
      <w:pPr>
        <w:pStyle w:val="ListBullet"/>
      </w:pPr>
      <w:r>
        <w:t>Safety flag (DV)? → raise tier, route to protection referral, proceed with caution.</w:t>
      </w:r>
    </w:p>
    <w:p>
      <w:pPr>
        <w:pStyle w:val="Heading1"/>
      </w:pPr>
      <w:r>
        <w:t>3. NBFC ↔ Borrower — playbook</w:t>
      </w:r>
    </w:p>
    <w:p>
      <w:pPr>
        <w:pStyle w:val="Heading2"/>
      </w:pPr>
      <w:r>
        <w:t>3.1 Strategy &amp; law</w:t>
      </w:r>
    </w:p>
    <w:p>
      <w:pPr>
        <w:spacing w:after="120"/>
      </w:pPr>
      <w:r>
        <w:rPr>
          <w:b w:val="0"/>
        </w:rPr>
        <w:t>Lender: use clause-driven bulk intake; offer graduated settlements; preserve the s.36 award route on failure. Borrower: seek restructuring, waiver of penal charges, hardship terms; use the RBI 30-day grievance and escalation. Anchors: A&amp;C Act 1996; RBI Digital Lending Directions; RBI/NPCI ODR mandates; Integrated Ombudsman.</w:t>
      </w:r>
    </w:p>
    <w:p>
      <w:pPr>
        <w:pStyle w:val="Heading2"/>
      </w:pPr>
      <w:r>
        <w:t>3.2 Recovery ladder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Lever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Conciliation (free window)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Settlement / instalment plan; fastest, cheapest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Mediation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Facilitated compromise where relationship matters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Arbitration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Reasoned, s.36-enforceable award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Execution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Award as decree; attach/realise per CPC Order XXI</w:t>
            </w:r>
          </w:p>
        </w:tc>
      </w:tr>
    </w:tbl>
    <w:p>
      <w:pPr>
        <w:spacing w:after="40"/>
      </w:pPr>
    </w:p>
    <w:p>
      <w:pPr>
        <w:pStyle w:val="Heading1"/>
      </w:pPr>
      <w:r>
        <w:t>4. Commercial &amp; MSME — playbook</w:t>
      </w:r>
    </w:p>
    <w:p>
      <w:pPr>
        <w:pStyle w:val="Heading2"/>
      </w:pPr>
      <w:r>
        <w:t>4.1 Strategy &amp; law</w:t>
      </w:r>
    </w:p>
    <w:p>
      <w:pPr>
        <w:spacing w:after="120"/>
      </w:pPr>
      <w:r>
        <w:rPr>
          <w:b w:val="0"/>
        </w:rPr>
        <w:t>Anchors: A&amp;C Act 1996; Commercial Courts Act 2015 (s.12A pre-institution mediation for non-urgent matters); MSMED Act 2006 (s.18 MSEFC conciliation→arbitration, 90 days; s.19 requires a 75% pre-deposit to challenge; award = decree under s.36); Companies Act 2013 (contractual matters arbitrable; oppression/mismanagement reserved to NCLT — non-arbitrable). Interplay note: once s.18 MSEFC jurisdiction is invoked, a party generally cannot separately seek arbitrator appointment; and limitation applies to the arbitration stage, not conciliation (recent Supreme Court guidance).</w:t>
      </w:r>
    </w:p>
    <w:p>
      <w:pPr>
        <w:pStyle w:val="Heading2"/>
      </w:pPr>
      <w:r>
        <w:t>4.2 Remedies &amp; execution steps</w:t>
      </w:r>
    </w:p>
    <w:p>
      <w:pPr>
        <w:pStyle w:val="ListNumber"/>
      </w:pPr>
      <w:r>
        <w:t>Obtain the award/MSA; ensure signature, e-stamp and timestamp are in the bundle.</w:t>
      </w:r>
    </w:p>
    <w:p>
      <w:pPr>
        <w:pStyle w:val="ListNumber"/>
      </w:pPr>
      <w:r>
        <w:t>For an award: after the s.34 window expires without challenge, file execution under s.36 (award = decree) before the competent court.</w:t>
      </w:r>
    </w:p>
    <w:p>
      <w:pPr>
        <w:pStyle w:val="ListNumber"/>
      </w:pPr>
      <w:r>
        <w:t>For MSME: note the s.19 75% pre-deposit condition on any challenge.</w:t>
      </w:r>
    </w:p>
    <w:p>
      <w:pPr>
        <w:pStyle w:val="ListNumber"/>
      </w:pPr>
      <w:r>
        <w:t>Execution proceeds under CPC Order XXI (attachment, sale, garnishee) — the platform exports an e-Courts-compatible bundle and tracks the petition.</w:t>
      </w:r>
    </w:p>
    <w:p>
      <w:pPr>
        <w:pStyle w:val="Heading1"/>
      </w:pPr>
      <w:r>
        <w:t>5. Enterprise Grievance &amp; POSH — playbook</w:t>
      </w:r>
    </w:p>
    <w:p>
      <w:pPr>
        <w:spacing w:after="120"/>
      </w:pPr>
      <w:r>
        <w:rPr>
          <w:b w:val="0"/>
        </w:rPr>
        <w:t>POSH: IC with ≥50% women and an external member; 90-day inquiry; strict confidentiality; interim measures; recommendation → employer action; annual report. General grievance: category routing, SLA timers, anonymity/whistle-blower handling. Escalation to EDRS only with consent and preserved confidentiality (EQR-06 §5). Anchors: POSH Act 2013; company HR/labour policy; SHe-Box single-window pattern.</w:t>
      </w:r>
    </w:p>
    <w:p>
      <w:pPr>
        <w:pStyle w:val="Heading1"/>
      </w:pPr>
      <w:r>
        <w:t>6. International &amp; Cross-Border — playbook</w:t>
      </w:r>
    </w:p>
    <w:p>
      <w:pPr>
        <w:pStyle w:val="Heading2"/>
      </w:pPr>
      <w:r>
        <w:t>6.1 Strategy &amp; law</w:t>
      </w:r>
    </w:p>
    <w:p>
      <w:pPr>
        <w:spacing w:after="120"/>
      </w:pPr>
      <w:r>
        <w:rPr>
          <w:b w:val="0"/>
        </w:rPr>
        <w:t>Choose seat and governing law deliberately (they drive supervisory courts and enforceability). Anchors: New York Convention 1958 (award enforcement in 170+ states); UNCITRAL Model Law; Singapore Convention 2019 for mediated settlements (India signed, not ratified). For export-import: incoterms and trade-rule awareness; WTO is state-to-state (out of scope for private ODR) but informs context.</w:t>
      </w:r>
    </w:p>
    <w:p>
      <w:pPr>
        <w:pStyle w:val="Heading2"/>
      </w:pPr>
      <w:r>
        <w:t>6.2 Enforcement checklist (foreign award)</w:t>
      </w:r>
    </w:p>
    <w:p>
      <w:pPr>
        <w:pStyle w:val="ListBullet"/>
      </w:pPr>
      <w:r>
        <w:t>Authenticated award + arbitration agreement (certified copies/translations).</w:t>
      </w:r>
    </w:p>
    <w:p>
      <w:pPr>
        <w:pStyle w:val="ListBullet"/>
      </w:pPr>
      <w:r>
        <w:t>Proof of seat and that the award is binding and not set aside at the seat.</w:t>
      </w:r>
    </w:p>
    <w:p>
      <w:pPr>
        <w:pStyle w:val="ListBullet"/>
      </w:pPr>
      <w:r>
        <w:t>File before the enforcing court under its New-York-Convention implementing law; anticipate limited refusal grounds (Art. V).</w:t>
      </w:r>
    </w:p>
    <w:p>
      <w:pPr>
        <w:pStyle w:val="Heading1"/>
      </w:pPr>
      <w:r>
        <w:t>7. Cross-Pillar Remedies Matrix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Relief</w:t>
            </w:r>
          </w:p>
        </w:tc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Available in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Enforcement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Money (debt/damages/interest)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NBFC, Commercial, MSME, Consumer, Int'l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s.36 award / s.27 MSA / decree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Settlement / instalments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All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MSA + escrow schedule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Specific performance (arbitrable)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Commercial, Int'l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Award as decree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Maintenance / parenting plan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s.27 MSA / family court decree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Compensation + action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POSH/Grievance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IC action + escalated award/MSA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Refund / replacement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MSA / commission order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Note: case-law citations should be added and kept current by counsel for each pillar; this playbook states doctrine and procedure, and flags the leading themes above.</w:t>
      </w:r>
    </w:p>
    <w:p>
      <w:pPr>
        <w:spacing w:after="120"/>
      </w:pPr>
      <w:r>
        <w:rPr>
          <w:b w:val="0"/>
          <w:color w:val="5A6B7B"/>
          <w:sz w:val="18"/>
        </w:rPr>
        <w:t>End of EQR-30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