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Full Schema DDL &amp; Ruleset Configuration Examples</w:t>
      </w:r>
    </w:p>
    <w:p>
      <w:pPr>
        <w:spacing w:after="280"/>
      </w:pPr>
      <w:r>
        <w:rPr>
          <w:i/>
          <w:color w:val="5A6B7B"/>
          <w:sz w:val="25"/>
        </w:rPr>
        <w:t>The complete physical schema (extending EQR-21 to the remaining tables) plus real, runnable ruleset configuration JSON per pillar — so ‘configuration over code' is demonstrated, not just asserted.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EQR-32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Full Schema DDL &amp; Ruleset Configuration Examples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Data Architect / Legal-Ops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EQR-32_Schema_DDL_Supplement.sql · EQR-32_Ruleset_Configs.json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EQR-21 (core DDL/events) · EQR-12 (dictionary) · EQR-15 #1 (Ruleset Studio)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Scope</w:t>
      </w:r>
    </w:p>
    <w:p>
      <w:pPr>
        <w:spacing w:after="120"/>
      </w:pPr>
      <w:r>
        <w:rPr>
          <w:b w:val="0"/>
        </w:rPr>
        <w:t>EQR-21 shipped runnable DDL for the core tables. This document supplements it with the remaining tables (the supplement .sql), summarises the schema by domain, and — the key addition — provides real ruleset configuration JSON per pillar. A ruleset makes a pillar behave: it sets the pathway, clocks, allocation, fees and templates without code. Together, EQR-21 + EQR-32 are the full physical schema and its configuration layer.</w:t>
      </w:r>
    </w:p>
    <w:p>
      <w:pPr>
        <w:pStyle w:val="Heading1"/>
      </w:pPr>
      <w:r>
        <w:t>2. Schema by Domain (map)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2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Tables (EQR-21 core + EQR-32 supplement)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Identity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parties, entities, kyc_records, users, consents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Neutrals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neutrals, empanelments*, allocations, conflict_graph*, conflict_checks*, scorecards*, complaints*, discipline_actions*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Proceedings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cases, case_parties, proceedings*, sessions*, hearings*, orders*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Evidence &amp; notice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evidence_items, custody_log, documents*, service_attempts*, service_certificates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Outcomes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settlements, awards, signatures*, stamps*, execution_bundles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Finance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invoices, payments, escrow_ledger, payouts, rate_cards, rate_card_items*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Enterprise/AI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escalation_contracts, grievances, ic_committees*, explorer_sessions, ai_outputs*, model_registry*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Config/audit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ruleset_versions, sector_rulebooks*, tenants, audit_log, domain_events, feature_flags*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Tables marked * are defined in the EQR-32 supplement .sql; the rest are in EQR-21.</w:t>
      </w:r>
    </w:p>
    <w:p>
      <w:pPr>
        <w:pStyle w:val="Heading1"/>
      </w:pPr>
      <w:r>
        <w:t>3. Ruleset Configuration Model</w:t>
      </w:r>
    </w:p>
    <w:p>
      <w:pPr>
        <w:spacing w:after="120"/>
      </w:pPr>
      <w:r>
        <w:rPr>
          <w:b w:val="0"/>
        </w:rPr>
        <w:t>A ruleset is versioned JSON pinned to a case at filing. Structure: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72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pillar / version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Which pillar and semantic version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pathway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Allowed rungs, entry rung, escalation, mandatory stages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clocks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Named statutory/config timers with limits &amp; extensions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allocation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Method, panel, tribunal size, conflict policy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fees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Stage/outcome fee schedule ref + who pays + success fee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templates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Notice/order/MSA/award/certificate template ids per language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confidentiality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Tier, redaction, on-platform-comms enforcement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flags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Non-arbitrable subject-matter, special handling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Demonstrated, not asserted.  </w:t>
            </w:r>
            <w:r>
              <w:rPr>
                <w:color w:val="1A1A1A"/>
                <w:sz w:val="19"/>
              </w:rPr>
              <w:t>The companion EQR-32_Ruleset_Configs.json contains complete rulesets for NBFC, Family, Commercial/MSME and Securities — including the SEBI 21(+10)-day pre-conciliation clock, the 120(+60)-day mediation clock, the S.29A award clock, round-robin allocation, and non-arbitrable flags. Point the engine at one of these and the pillar behaves correctly with no code change.</w:t>
            </w:r>
          </w:p>
        </w:tc>
      </w:tr>
    </w:tbl>
    <w:p>
      <w:pPr>
        <w:spacing w:after="40"/>
      </w:pPr>
    </w:p>
    <w:p>
      <w:pPr>
        <w:pStyle w:val="Heading1"/>
      </w:pPr>
      <w:r>
        <w:t>4. DDL Conventions (recap) &amp; Indices</w:t>
      </w:r>
    </w:p>
    <w:p>
      <w:pPr>
        <w:pStyle w:val="ListBullet"/>
      </w:pPr>
      <w:r>
        <w:t>ULID PKs, tenant_id scoping + row-level security, timestamptz UTC, snake_case, CHECK enums, numeric money (EQR-21 §1).</w:t>
      </w:r>
    </w:p>
    <w:p>
      <w:pPr>
        <w:pStyle w:val="ListBullet"/>
      </w:pPr>
      <w:r>
        <w:t>Encrypted columns for sensitive data (IDs, POSH/marital narrative).</w:t>
      </w:r>
    </w:p>
    <w:p>
      <w:pPr>
        <w:pStyle w:val="ListBullet"/>
      </w:pPr>
      <w:r>
        <w:t>Indices on hot filters (case status, party, neutral); append tables partitioned monthly.</w:t>
      </w:r>
    </w:p>
    <w:p>
      <w:pPr>
        <w:pStyle w:val="ListBullet"/>
      </w:pPr>
      <w:r>
        <w:t>Every write emits a domain_event (EQR-21 §5) and an audit_log entry.</w:t>
      </w:r>
    </w:p>
    <w:p>
      <w:pPr>
        <w:spacing w:after="120"/>
      </w:pPr>
      <w:r>
        <w:rPr>
          <w:b w:val="0"/>
          <w:color w:val="5A6B7B"/>
          <w:sz w:val="18"/>
        </w:rPr>
        <w:t>End of EQR-32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