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B2E4F"/>
        <w:spacing w:after="40"/>
      </w:pPr>
      <w:r>
        <w:rPr>
          <w:sz w:val="8"/>
        </w:rPr>
        <w:t xml:space="preserve"> </w:t>
      </w:r>
    </w:p>
    <w:p>
      <w:pPr>
        <w:spacing w:before="200" w:after="40"/>
      </w:pPr>
      <w:r>
        <w:rPr>
          <w:b/>
          <w:color w:val="1F7A8C"/>
          <w:sz w:val="20"/>
        </w:rPr>
        <w:t>FAMILY F · VISUAL &amp; REFERENCE</w:t>
      </w:r>
    </w:p>
    <w:p>
      <w:pPr>
        <w:pStyle w:val="Title"/>
        <w:pBdr>
          <w:bottom w:val="single" w:sz="20" w:space="6" w:color="B98A2E"/>
        </w:pBdr>
      </w:pPr>
      <w:r>
        <w:t>API Cookbook &amp; Sequence Diagrams</w:t>
      </w:r>
    </w:p>
    <w:p>
      <w:pPr>
        <w:spacing w:after="280"/>
      </w:pPr>
      <w:r>
        <w:rPr>
          <w:i/>
          <w:color w:val="5A6B7B"/>
          <w:sz w:val="25"/>
        </w:rPr>
        <w:t>The developer's how-to for the Equator API — copy-paste request/response examples, the error catalog, idempotency, pagination and webhook-signature rules, plus sequence diagrams for the key flows.</w:t>
      </w:r>
    </w:p>
    <w:p>
      <w:pPr>
        <w:pStyle w:val="Heading2"/>
      </w:pPr>
      <w:r>
        <w:t>Document Control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4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code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EQR-33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title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API Cookbook &amp; Sequence Diagrams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9 July 2026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Issued for build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Partnerships Engineering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Confidential — Internal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Artifacts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EQR-33_API_Examples.md (curl + JSON) · EQR-33_Sequence_Diagrams.html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Companions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EQR-18 (OpenAPI) · EQR-06 (integration) · EQR-21 (events)</w:t>
            </w:r>
          </w:p>
        </w:tc>
      </w:tr>
    </w:tbl>
    <w:p>
      <w:pPr>
        <w:spacing w:after="40"/>
      </w:pPr>
    </w:p>
    <w:p/>
    <w:p>
      <w:pPr>
        <w:pStyle w:val="Heading1"/>
      </w:pPr>
      <w:r>
        <w:t>Contents</w:t>
      </w:r>
    </w:p>
    <w:p>
      <w:r>
        <w:rPr>
          <w:color w:val="5A6B7B"/>
          <w:sz w:val="16"/>
        </w:rPr>
        <w:fldChar w:fldCharType="begin"/>
        <w:instrText xml:space="preserve">TOC \o "1-3" \h \z \u</w:instrText>
        <w:fldChar w:fldCharType="end"/>
      </w:r>
    </w:p>
    <w:p>
      <w:r>
        <w:rPr>
          <w:i/>
          <w:color w:val="5A6B7B"/>
          <w:sz w:val="17"/>
        </w:rPr>
        <w:t>(Right-click and choose “Update Field”, or press F9, to populate the table of contents.)</w:t>
      </w:r>
    </w:p>
    <w:p>
      <w:r>
        <w:br w:type="page"/>
      </w:r>
    </w:p>
    <w:p>
      <w:pPr>
        <w:pStyle w:val="Heading1"/>
      </w:pPr>
      <w:r>
        <w:t>1. Conventions</w:t>
      </w:r>
    </w:p>
    <w:p>
      <w:pPr>
        <w:pStyle w:val="ListBullet"/>
      </w:pPr>
      <w:r>
        <w:rPr>
          <w:b/>
        </w:rPr>
        <w:t xml:space="preserve">Base URLs: </w:t>
      </w:r>
      <w:r>
        <w:t>api.equatorresolution.com/v1 (prod) · sandbox.api.equatorresolution.com/v1</w:t>
      </w:r>
    </w:p>
    <w:p>
      <w:pPr>
        <w:pStyle w:val="ListBullet"/>
      </w:pPr>
      <w:r>
        <w:rPr>
          <w:b/>
        </w:rPr>
        <w:t xml:space="preserve">Auth: </w:t>
      </w:r>
      <w:r>
        <w:t>Bearer JWT (OAuth2/OIDC) on every request; client-credentials for machine clients.</w:t>
      </w:r>
    </w:p>
    <w:p>
      <w:pPr>
        <w:pStyle w:val="ListBullet"/>
      </w:pPr>
      <w:r>
        <w:rPr>
          <w:b/>
        </w:rPr>
        <w:t xml:space="preserve">Idempotency: </w:t>
      </w:r>
      <w:r>
        <w:t>POST accepts an Idempotency-Key header; retries with the same key are safe.</w:t>
      </w:r>
    </w:p>
    <w:p>
      <w:pPr>
        <w:pStyle w:val="ListBullet"/>
      </w:pPr>
      <w:r>
        <w:rPr>
          <w:b/>
        </w:rPr>
        <w:t xml:space="preserve">Pagination: </w:t>
      </w:r>
      <w:r>
        <w:t>Cursor-based: ?limit=&amp;cursor=; responses return next_cursor.</w:t>
      </w:r>
    </w:p>
    <w:p>
      <w:pPr>
        <w:pStyle w:val="ListBullet"/>
      </w:pPr>
      <w:r>
        <w:rPr>
          <w:b/>
        </w:rPr>
        <w:t xml:space="preserve">Errors: </w:t>
      </w:r>
      <w:r>
        <w:t>Uniform Error shape: {code, message, details[]} with appropriate HTTP status.</w:t>
      </w:r>
    </w:p>
    <w:p>
      <w:pPr>
        <w:pStyle w:val="ListBullet"/>
      </w:pPr>
      <w:r>
        <w:rPr>
          <w:b/>
        </w:rPr>
        <w:t xml:space="preserve">Correlation: </w:t>
      </w:r>
      <w:r>
        <w:t>Send/echo X-Correlation-Id for tracing.</w:t>
      </w:r>
    </w:p>
    <w:p>
      <w:pPr>
        <w:pStyle w:val="Heading1"/>
      </w:pPr>
      <w:r>
        <w:t>2. Error Catalog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15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HTTP</w:t>
            </w:r>
          </w:p>
        </w:tc>
        <w:tc>
          <w:tcPr>
            <w:tcW w:type="dxa" w:w="273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code</w:t>
            </w:r>
          </w:p>
        </w:tc>
        <w:tc>
          <w:tcPr>
            <w:tcW w:type="dxa" w:w="547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400</w:t>
            </w:r>
          </w:p>
        </w:tc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validation_error</w:t>
            </w:r>
          </w:p>
        </w:tc>
        <w:tc>
          <w:tcPr>
            <w:tcW w:type="dxa" w:w="54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Body failed schema/validation (details[] lists fields)</w:t>
            </w:r>
          </w:p>
        </w:tc>
      </w:tr>
      <w:tr>
        <w:tc>
          <w:tcPr>
            <w:tcW w:type="dxa" w:w="11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401</w:t>
            </w:r>
          </w:p>
        </w:tc>
        <w:tc>
          <w:tcPr>
            <w:tcW w:type="dxa" w:w="27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unauthenticated</w:t>
            </w:r>
          </w:p>
        </w:tc>
        <w:tc>
          <w:tcPr>
            <w:tcW w:type="dxa" w:w="54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Missing/expired token</w:t>
            </w:r>
          </w:p>
        </w:tc>
      </w:tr>
      <w:tr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403</w:t>
            </w:r>
          </w:p>
        </w:tc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forbidden</w:t>
            </w:r>
          </w:p>
        </w:tc>
        <w:tc>
          <w:tcPr>
            <w:tcW w:type="dxa" w:w="54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Role/tenant/tier policy denies (EQR-22)</w:t>
            </w:r>
          </w:p>
        </w:tc>
      </w:tr>
      <w:tr>
        <w:tc>
          <w:tcPr>
            <w:tcW w:type="dxa" w:w="11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404</w:t>
            </w:r>
          </w:p>
        </w:tc>
        <w:tc>
          <w:tcPr>
            <w:tcW w:type="dxa" w:w="27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not_found</w:t>
            </w:r>
          </w:p>
        </w:tc>
        <w:tc>
          <w:tcPr>
            <w:tcW w:type="dxa" w:w="54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Resource absent or not visible to caller</w:t>
            </w:r>
          </w:p>
        </w:tc>
      </w:tr>
      <w:tr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409</w:t>
            </w:r>
          </w:p>
        </w:tc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conflict</w:t>
            </w:r>
          </w:p>
        </w:tc>
        <w:tc>
          <w:tcPr>
            <w:tcW w:type="dxa" w:w="54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e.g., escalation without valid consent_ref; duplicate</w:t>
            </w:r>
          </w:p>
        </w:tc>
      </w:tr>
      <w:tr>
        <w:tc>
          <w:tcPr>
            <w:tcW w:type="dxa" w:w="11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422</w:t>
            </w:r>
          </w:p>
        </w:tc>
        <w:tc>
          <w:tcPr>
            <w:tcW w:type="dxa" w:w="27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unprocessable</w:t>
            </w:r>
          </w:p>
        </w:tc>
        <w:tc>
          <w:tcPr>
            <w:tcW w:type="dxa" w:w="54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Semantically invalid (e.g., non-arbitrable pillar+method)</w:t>
            </w:r>
          </w:p>
        </w:tc>
      </w:tr>
      <w:tr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429</w:t>
            </w:r>
          </w:p>
        </w:tc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rate_limited</w:t>
            </w:r>
          </w:p>
        </w:tc>
        <w:tc>
          <w:tcPr>
            <w:tcW w:type="dxa" w:w="54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Quota exceeded; Retry-After provided</w:t>
            </w:r>
          </w:p>
        </w:tc>
      </w:tr>
      <w:tr>
        <w:tc>
          <w:tcPr>
            <w:tcW w:type="dxa" w:w="11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500</w:t>
            </w:r>
          </w:p>
        </w:tc>
        <w:tc>
          <w:tcPr>
            <w:tcW w:type="dxa" w:w="27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internal</w:t>
            </w:r>
          </w:p>
        </w:tc>
        <w:tc>
          <w:tcPr>
            <w:tcW w:type="dxa" w:w="54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Unexpected; correlation id returned for support</w:t>
            </w:r>
          </w:p>
        </w:tc>
      </w:tr>
    </w:tbl>
    <w:p>
      <w:pPr>
        <w:spacing w:after="40"/>
      </w:pPr>
    </w:p>
    <w:p>
      <w:pPr>
        <w:pStyle w:val="Heading1"/>
      </w:pPr>
      <w:r>
        <w:t>3. Recipes (summary — full JSON in the .md)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0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Recipe</w:t>
            </w:r>
          </w:p>
        </w:tc>
        <w:tc>
          <w:tcPr>
            <w:tcW w:type="dxa" w:w="302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403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Register a party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POST /parties</w:t>
            </w:r>
          </w:p>
        </w:tc>
        <w:tc>
          <w:tcPr>
            <w:tcW w:type="dxa" w:w="403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Returns party_id; then POST /parties/{id}/kyc</w:t>
            </w:r>
          </w:p>
        </w:tc>
      </w:tr>
      <w:tr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File a case</w:t>
            </w:r>
          </w:p>
        </w:tc>
        <w:tc>
          <w:tcPr>
            <w:tcW w:type="dxa" w:w="30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POST /cases</w:t>
            </w:r>
          </w:p>
        </w:tc>
        <w:tc>
          <w:tcPr>
            <w:tcW w:type="dxa" w:w="403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Body per pillar (F5); returns case_id + status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Escalate a ticket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POST /escalations</w:t>
            </w:r>
          </w:p>
        </w:tc>
        <w:tc>
          <w:tcPr>
            <w:tcW w:type="dxa" w:w="403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Requires party_consent_ref; 409 if missing</w:t>
            </w:r>
          </w:p>
        </w:tc>
      </w:tr>
      <w:tr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Get case status</w:t>
            </w:r>
          </w:p>
        </w:tc>
        <w:tc>
          <w:tcPr>
            <w:tcW w:type="dxa" w:w="30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GET /cases/{id}/status</w:t>
            </w:r>
          </w:p>
        </w:tc>
        <w:tc>
          <w:tcPr>
            <w:tcW w:type="dxa" w:w="403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Timeline + clocks for the case-status explorer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Upload evidence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POST /cases/{id}/documents</w:t>
            </w:r>
          </w:p>
        </w:tc>
        <w:tc>
          <w:tcPr>
            <w:tcW w:type="dxa" w:w="403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multipart; returns sha256</w:t>
            </w:r>
          </w:p>
        </w:tc>
      </w:tr>
      <w:tr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Get execution bundle</w:t>
            </w:r>
          </w:p>
        </w:tc>
        <w:tc>
          <w:tcPr>
            <w:tcW w:type="dxa" w:w="30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GET /cases/{id}/execution-bundle</w:t>
            </w:r>
          </w:p>
        </w:tc>
        <w:tc>
          <w:tcPr>
            <w:tcW w:type="dxa" w:w="403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Court-ready bundle once enforceable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Initiate payment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POST /payments</w:t>
            </w:r>
          </w:p>
        </w:tc>
        <w:tc>
          <w:tcPr>
            <w:tcW w:type="dxa" w:w="403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rail=Razorpay|PayPal; returns redirect_url</w:t>
            </w:r>
          </w:p>
        </w:tc>
      </w:tr>
      <w:tr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Start Dispute Explorer</w:t>
            </w:r>
          </w:p>
        </w:tc>
        <w:tc>
          <w:tcPr>
            <w:tcW w:type="dxa" w:w="30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POST /explorer/sessions</w:t>
            </w:r>
          </w:p>
        </w:tc>
        <w:tc>
          <w:tcPr>
            <w:tcW w:type="dxa" w:w="403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Advisory; returns viability read</w:t>
            </w:r>
          </w:p>
        </w:tc>
      </w:tr>
    </w:tbl>
    <w:p>
      <w:pPr>
        <w:spacing w:after="40"/>
      </w:pPr>
    </w:p>
    <w:p>
      <w:pPr>
        <w:pStyle w:val="Heading1"/>
      </w:pPr>
      <w:r>
        <w:t>4. Webhooks</w:t>
      </w:r>
    </w:p>
    <w:p>
      <w:pPr>
        <w:pStyle w:val="ListBullet"/>
      </w:pPr>
      <w:r>
        <w:t>Events: case.filed, neutral.appointed, hearing.scheduled, award.signed, settlement.paid, case.closed, escalation.received (EQR-21).</w:t>
      </w:r>
    </w:p>
    <w:p>
      <w:pPr>
        <w:pStyle w:val="ListBullet"/>
      </w:pPr>
      <w:r>
        <w:t>Delivery: signed (HMAC-SHA256 over the raw body using your signing secret), retried with backoff, idempotent (dedupe on event_id).</w:t>
      </w:r>
    </w:p>
    <w:p>
      <w:pPr>
        <w:pStyle w:val="ListBullet"/>
      </w:pPr>
      <w:r>
        <w:t>Verify: recompute the signature and compare in constant time; reject on mismatch; then process.</w:t>
      </w:r>
    </w:p>
    <w:p>
      <w:pPr>
        <w:pStyle w:val="ListBullet"/>
      </w:pPr>
      <w:r>
        <w:t>Replay: a replay endpoint re-sends missed events within the retention window.</w:t>
      </w:r>
    </w:p>
    <w:p>
      <w:pPr>
        <w:pStyle w:val="Heading1"/>
      </w:pPr>
      <w:r>
        <w:t>5. Sequence Diagrams</w:t>
      </w:r>
    </w:p>
    <w:p>
      <w:pPr>
        <w:spacing w:after="120"/>
      </w:pPr>
      <w:r>
        <w:rPr>
          <w:b w:val="0"/>
        </w:rPr>
        <w:t>The companion EQR-33_Sequence_Diagrams.html renders four flows — File a case, Escalate a ticket, Sign &amp; stamp an award, and Pay with split settlement — as message sequences across the services and external rails.</w:t>
      </w:r>
    </w:p>
    <w:p>
      <w:pPr>
        <w:spacing w:after="120"/>
      </w:pPr>
      <w:r>
        <w:rPr>
          <w:b w:val="0"/>
          <w:color w:val="5A6B7B"/>
          <w:sz w:val="18"/>
        </w:rPr>
        <w:t>End of EQR-33 v1.0.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C9D3DC"/>
      </w:pBdr>
      <w:tabs>
        <w:tab w:pos="9360" w:val="right"/>
      </w:tabs>
    </w:pPr>
    <w:r/>
    <w:r>
      <w:rPr>
        <w:color w:val="5A6B7B"/>
        <w:sz w:val="16"/>
      </w:rPr>
      <w:t xml:space="preserve">Confidential — © 2026 Equator Resolution (Infrabyx Consultancy (OPC) Pvt. Ltd.)   </w:t>
    </w:r>
    <w:r>
      <w:rPr>
        <w:color w:val="5A6B7B"/>
        <w:sz w:val="16"/>
      </w:rPr>
      <w:tab/>
      <w:t xml:space="preserve">Page </w:t>
    </w:r>
    <w:r>
      <w:rPr>
        <w:color w:val="5A6B7B"/>
        <w:sz w:val="16"/>
      </w:rPr>
      <w:fldChar w:fldCharType="begin"/>
      <w:instrText xml:space="preserve">PAGE</w:instrText>
      <w:fldChar w:fldCharType="end"/>
    </w:r>
    <w:r>
      <w:rPr>
        <w:color w:val="5A6B7B"/>
        <w:sz w:val="16"/>
      </w:rPr>
      <w:t xml:space="preserve"> of </w:t>
    </w:r>
    <w:r>
      <w:rPr>
        <w:color w:val="5A6B7B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6" w:color="C9D3DC"/>
      </w:pBdr>
      <w:jc w:val="left"/>
    </w:pPr>
    <w:r/>
    <w:r>
      <w:rPr>
        <w:rFonts w:ascii="Arial" w:hAnsi="Arial"/>
        <w:color w:val="5A6B7B"/>
        <w:sz w:val="16"/>
      </w:rPr>
      <w:t>EQUATOR RESOLUTION  ·  EQR-33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2E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B2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A6B7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B2E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