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A · STRATEGY &amp; GOVERNANCE</w:t>
      </w:r>
    </w:p>
    <w:p>
      <w:pPr>
        <w:pStyle w:val="Title"/>
        <w:pBdr>
          <w:bottom w:val="single" w:sz="20" w:space="6" w:color="B98A2E"/>
        </w:pBdr>
      </w:pPr>
      <w:r>
        <w:t>Research &amp; Evidence Annex</w:t>
      </w:r>
    </w:p>
    <w:p>
      <w:pPr>
        <w:spacing w:after="280"/>
      </w:pPr>
      <w:r>
        <w:rPr>
          <w:i/>
          <w:color w:val="5A6B7B"/>
          <w:sz w:val="25"/>
        </w:rPr>
        <w:t>Every material market, legal and competitor claim used across the documentation set — stated, sourced, dated and confidence-rated — so the pack is audit-grade, not just advisory-grade.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EQR-34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Research &amp; Evidence Annex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Strategy / Legal-Ops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Method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Web research July 2026; figures are vendor/analyst estimates — treat ranges as directional.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EQR-13 (market) · EQR-04 (law) · EQR-08 (payments)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How to Use</w:t>
      </w:r>
    </w:p>
    <w:p>
      <w:pPr>
        <w:spacing w:after="120"/>
      </w:pPr>
      <w:r>
        <w:rPr>
          <w:b w:val="0"/>
        </w:rPr>
        <w:t>Each claim carries a confidence rating — High (official/primary source, stable), Medium (credible secondary, or estimate), Low (single source or fast-moving). Re-verify Medium/Low items and all dated figures before external use. Sources are named; URLs are held in the working source register.</w:t>
      </w:r>
    </w:p>
    <w:p>
      <w:pPr>
        <w:pStyle w:val="Heading1"/>
      </w:pPr>
      <w:r>
        <w:t>2. Regulatory &amp; Legal Claims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7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Claim</w:t>
            </w:r>
          </w:p>
        </w:tc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00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Conf.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DPDP Rules 2025 notified 14 Nov 2025; breach report to Board within 72 hours; consent-manager live 13 Nov 2026; substantive obligations ~mid-2027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MeitY/PIB; EY; Lexology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Mediation Act 2023 s.27 makes an MSA enforceable as a court judgment/decree; s.28 challenge on limited grounds within 90(+90) days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India Code; IBC Laws; JSA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India signed the Singapore Convention (7 Aug 2019) but has not ratified it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Kluwer; Nishith Desai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Arbitration &amp; Conciliation (Amendment) Bill 2024 is a draft (unveiled 18 Oct 2024); not enacted as of mid-2026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PIB; White &amp; Case; iPleaders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MSMED Act s.18: MSEFC conciliation→arbitration within 90 days; s.19 requires 75% pre-deposit to challenge; award enforceable under s.36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Lexology; SCC Online (2025)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New York Convention 1958 enforces foreign awards across 170+ states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UNCITRAL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NeSL Digital Document Execution combines e-stamp + e-sign; real-time; 29 states; 3 empanelled ESPs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NeSL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Commercial Courts Act s.12A mandates pre-institution mediation for non-urgent commercial suits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Statute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3. Market &amp; Competitor Claims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7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Claim</w:t>
            </w:r>
          </w:p>
        </w:tc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00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Conf.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Sama: recognised by Min. of Law &amp; Justice (2017); 3,000+ neutrals, 500+ districts; 2 crore+ cases handled, 35 lakh+ settled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sama.live; LiveLaw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Presolv360: ~$4.7M Series A (Elevation, 2025); runs an ODR academy; ~1M disputes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Inc42; company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Jupitice: markets awards valid in 166–171 countries; ‘Lok Adalat as a Service' (7 Digital Lok Adalats)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company; press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Low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CORD: empanelled for NSE &amp; NCDEX; an online arbitral award upheld in court; sector rulebooks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company; press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PACT (thepact.in): mediation training; 12,000+ trained; India's first ADR Advocacy Summer School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thepact.in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SEBI SMART-ODR: pre-conciliation 21(+10) days free; conciliation fees ~₹4,800/₹3,240 (participant-paid); round-robin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smartodr.in; SEBI circular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Sahamati empanels ODR institutions for AA inter-member disputes (RBI/SEBI/IRDAI/PFRDA/DoR)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sahamati.org.in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SIAC Rules 2025 (7th ed., eff. 1 Jan 2025); 2025 caseload 886 new cases; US$14.53bn; 89% international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siac.org.sg; HSF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MCIA Rules 2025 (36→49 provisions); 2024 caseload 34 (+48%), ~₹2,180 cr; 90% awards within 18 months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mcia.org.in; Pinsent Masons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IMI: standard-setter; Qualified vs Certified (200 hrs/20 mediations); IMI ODR Mediator; QAP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imimediation.org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DIAC est. 2009 (first HC-annexed centre); IIAC est. 2019 (Institute of National Importance)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dhcdiac.nic.in; indiaiac.org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6"/>
              </w:rPr>
              <w:t>Legal-ODR market small but growing double-digit; ~44% platforms use AI; ~39% use blockchain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Emergen Research; analyst reports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Low</w:t>
            </w:r>
          </w:p>
        </w:tc>
      </w:tr>
    </w:tbl>
    <w:p>
      <w:pPr>
        <w:spacing w:after="40"/>
      </w:pPr>
    </w:p>
    <w:p>
      <w:pPr>
        <w:pStyle w:val="Heading1"/>
      </w:pPr>
      <w:r>
        <w:t>4. Payments Claims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75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Claim</w:t>
            </w:r>
          </w:p>
        </w:tc>
        <w:tc>
          <w:tcPr>
            <w:tcW w:type="dxa" w:w="3024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00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Conf.</w:t>
            </w:r>
          </w:p>
        </w:tc>
      </w:tr>
      <w:tr>
        <w:tc>
          <w:tcPr>
            <w:tcW w:type="dxa" w:w="475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Razorpay Route splits/distributes payments; RazorpayX offers Payouts and automated Escrow (2024)</w:t>
            </w:r>
          </w:p>
        </w:tc>
        <w:tc>
          <w:tcPr>
            <w:tcW w:type="dxa" w:w="3024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razorpay.com</w:t>
            </w:r>
          </w:p>
        </w:tc>
        <w:tc>
          <w:tcPr>
            <w:tcW w:type="dxa" w:w="100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475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PayPal Payouts API: up to 15,000 payouts/call, multi-currency; ~2% payout fee; FX spread ~3–4%</w:t>
            </w:r>
          </w:p>
        </w:tc>
        <w:tc>
          <w:tcPr>
            <w:tcW w:type="dxa" w:w="3024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PayPal Developer</w:t>
            </w:r>
          </w:p>
        </w:tc>
        <w:tc>
          <w:tcPr>
            <w:tcW w:type="dxa" w:w="100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Medium</w:t>
            </w:r>
          </w:p>
        </w:tc>
      </w:tr>
    </w:tbl>
    <w:p>
      <w:pPr>
        <w:spacing w:after="40"/>
      </w:pPr>
    </w:p>
    <w:p>
      <w:pPr>
        <w:pStyle w:val="Heading1"/>
      </w:pPr>
      <w:r>
        <w:t>5. Source Register (selected)</w:t>
      </w:r>
    </w:p>
    <w:p>
      <w:pPr>
        <w:pStyle w:val="ListBullet"/>
      </w:pPr>
      <w:r>
        <w:t>Regulators/statute: MeitY/PIB, India Code, SEBI (smartodr.in), RBI, UNCITRAL, NeSL.</w:t>
      </w:r>
    </w:p>
    <w:p>
      <w:pPr>
        <w:pStyle w:val="ListBullet"/>
      </w:pPr>
      <w:r>
        <w:t>Analysis: EY, Lexology, Kluwer, JSA, Nishith Desai, White &amp; Case, SCC Online, iPleaders, Pinsent Masons, HSF.</w:t>
      </w:r>
    </w:p>
    <w:p>
      <w:pPr>
        <w:pStyle w:val="ListBullet"/>
      </w:pPr>
      <w:r>
        <w:t>Companies/institutions: sama.live, presolv360.com, thepact.in, sahamati.org.in, siac.org.sg, mcia.org.in, imimediation.org, dhcdiac.nic.in, indiaiac.org, razorpay.com, PayPal Developer.</w:t>
      </w:r>
    </w:p>
    <w:p>
      <w:pPr>
        <w:pStyle w:val="ListBullet"/>
      </w:pPr>
      <w:r>
        <w:t>Full URLs and access dates are maintained in the working source register (keep with owners, EQR-00 §7).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Living evidence.  </w:t>
            </w:r>
            <w:r>
              <w:rPr>
                <w:color w:val="1A1A1A"/>
                <w:sz w:val="19"/>
              </w:rPr>
              <w:t>This annex is the credibility spine: when a figure or legal position changes, update it here first, then propagate to EQR-13/04/08. Confidence ratings should be revisited each quarter.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EQR-34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EQR-34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