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D · LEGAL &amp; COMPLIANCE</w:t>
      </w:r>
    </w:p>
    <w:p>
      <w:pPr>
        <w:pStyle w:val="Title"/>
        <w:pBdr>
          <w:bottom w:val="single" w:sz="20" w:space="6" w:color="B98A2E"/>
        </w:pBdr>
      </w:pPr>
      <w:r>
        <w:t>Controls Catalog, DPIA &amp; Records of Processing</w:t>
      </w:r>
    </w:p>
    <w:p>
      <w:pPr>
        <w:spacing w:after="280"/>
      </w:pPr>
      <w:r>
        <w:rPr>
          <w:i/>
          <w:color w:val="5A6B7B"/>
          <w:sz w:val="25"/>
        </w:rPr>
        <w:t>Audit-grade compliance evidence — a control catalog mapped to ISO 27001 Annex A and SOC 2, a completed Data Protection Impact Assessment, Records of Processing (RoPA), data-flow summaries and a retention schedule by data class and statute.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EQR-35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Controls Catalog, DPIA &amp; RoPA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CISO / DPO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EQR-14 (security) · EQR-22 (IAM) · EQR-23 (ops) · EQR-27 (DPA)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Control Catalog (mapped)</w:t>
      </w:r>
    </w:p>
    <w:p>
      <w:pPr>
        <w:spacing w:after="120"/>
      </w:pPr>
      <w:r>
        <w:rPr>
          <w:b w:val="0"/>
        </w:rPr>
        <w:t>Each control states its objective, implementation and the evidence that proves it, mapped to ISO 27001 Annex A themes and SOC 2 Trust Services Criteria.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Control / objective</w:t>
            </w:r>
          </w:p>
        </w:tc>
        <w:tc>
          <w:tcPr>
            <w:tcW w:type="dxa" w:w="144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ISO/SOC</w:t>
            </w:r>
          </w:p>
        </w:tc>
        <w:tc>
          <w:tcPr>
            <w:tcW w:type="dxa" w:w="403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Implementation → evidence</w:t>
            </w:r>
          </w:p>
        </w:tc>
      </w:tr>
      <w:tr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CTRL-01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Access control (least privilege)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A.5/A.8; CC6</w:t>
            </w:r>
          </w:p>
        </w:tc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RBAC+ABAC (EQR-22) → access reviews, logs</w:t>
            </w:r>
          </w:p>
        </w:tc>
      </w:tr>
      <w:tr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CTRL-02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Cryptography in transit &amp; at rest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A.8; CC6</w:t>
            </w:r>
          </w:p>
        </w:tc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TLS, at-rest + field-level enc → key-rotation records</w:t>
            </w:r>
          </w:p>
        </w:tc>
      </w:tr>
      <w:tr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CTRL-03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Non-repudiation of outcomes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A.8; CC7</w:t>
            </w:r>
          </w:p>
        </w:tc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Hash-chain, timestamps, signatures → verify page</w:t>
            </w:r>
          </w:p>
        </w:tc>
      </w:tr>
      <w:tr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CTRL-04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Secure SDLC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A.8; CC8</w:t>
            </w:r>
          </w:p>
        </w:tc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SAST/DAST, dep scan, reviews → pipeline logs (EQR-23)</w:t>
            </w:r>
          </w:p>
        </w:tc>
      </w:tr>
      <w:tr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CTRL-05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Logging &amp; monitoring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A.8; CC7</w:t>
            </w:r>
          </w:p>
        </w:tc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OTel + SIEM, legal-clock cockpit → dashboards, alerts</w:t>
            </w:r>
          </w:p>
        </w:tc>
      </w:tr>
      <w:tr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CTRL-06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Backup &amp; recovery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A.8; A.5; A1</w:t>
            </w:r>
          </w:p>
        </w:tc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Multi-AZ, PITR, DR → restore-drill evidence</w:t>
            </w:r>
          </w:p>
        </w:tc>
      </w:tr>
      <w:tr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CTRL-07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Supplier/processor management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A.5; CC9</w:t>
            </w:r>
          </w:p>
        </w:tc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DPAs + sub-processor list (EQR-27) → contracts</w:t>
            </w:r>
          </w:p>
        </w:tc>
      </w:tr>
      <w:tr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CTRL-08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Privacy by design (DPDP)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A.5; P</w:t>
            </w:r>
          </w:p>
        </w:tc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Consent, minimisation, retention → RoPA (§3)</w:t>
            </w:r>
          </w:p>
        </w:tc>
      </w:tr>
      <w:tr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CTRL-09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Incident &amp; breach response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A.5; CC7</w:t>
            </w:r>
          </w:p>
        </w:tc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72-hr runbook → drill records</w:t>
            </w:r>
          </w:p>
        </w:tc>
      </w:tr>
      <w:tr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CTRL-10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Confidentiality tiers (POSH)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A.5/A.8; C</w:t>
            </w:r>
          </w:p>
        </w:tc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Field-enc, need-to-know, break-glass → access logs</w:t>
            </w:r>
          </w:p>
        </w:tc>
      </w:tr>
      <w:tr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CTRL-11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Identity assurance / anti-fraud</w:t>
            </w:r>
          </w:p>
        </w:tc>
        <w:tc>
          <w:tcPr>
            <w:tcW w:type="dxa" w:w="144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A.8; CC6</w:t>
            </w:r>
          </w:p>
        </w:tc>
        <w:tc>
          <w:tcPr>
            <w:tcW w:type="dxa" w:w="40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Liveness, deepfake checks → hearing logs</w:t>
            </w:r>
          </w:p>
        </w:tc>
      </w:tr>
      <w:tr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5"/>
              </w:rPr>
              <w:t>CTRL-12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AI governance</w:t>
            </w:r>
          </w:p>
        </w:tc>
        <w:tc>
          <w:tcPr>
            <w:tcW w:type="dxa" w:w="144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A.5; CC1</w:t>
            </w:r>
          </w:p>
        </w:tc>
        <w:tc>
          <w:tcPr>
            <w:tcW w:type="dxa" w:w="40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Model registry, eval, fairness → model cards (EQR-31)</w:t>
            </w:r>
          </w:p>
        </w:tc>
      </w:tr>
    </w:tbl>
    <w:p>
      <w:pPr>
        <w:spacing w:after="40"/>
      </w:pPr>
    </w:p>
    <w:p>
      <w:pPr>
        <w:pStyle w:val="Heading1"/>
      </w:pPr>
      <w:r>
        <w:t>2. Data Protection Impact Assessment (DPIA)</w:t>
      </w:r>
    </w:p>
    <w:p>
      <w:pPr>
        <w:spacing w:after="120"/>
      </w:pPr>
      <w:r>
        <w:rPr>
          <w:b w:val="0"/>
        </w:rPr>
        <w:t>Performed for high-risk processing; mandatory if designated a Significant Data Fiduciary under DPDP Rules 2025. Completed per processing activity; reviewed annually.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DPIA element</w:t>
            </w:r>
          </w:p>
        </w:tc>
        <w:tc>
          <w:tcPr>
            <w:tcW w:type="dxa" w:w="70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Processing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Identity, KYC/KYB, case content, evidence, payments; special-category POSH/marital data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Purpose &amp; necessity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Provide dispute resolution, verify identity, process payments, meet legal duties — necessary &amp; proportionate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Lawful basis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Consent (purpose-bound, withdrawable) + legal/legitimate uses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Risks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Confidentiality breach; identity fraud; AI error; over-retention; unlawful sharing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Mitigations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Field-encryption, tiered access, break-glass, minimisation, retention limits, AI governance, DPA controls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Residual risk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Low–Medium with controls; POSH residual Low with strict tier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DPO sign-off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[DPO] — reviewed [date]; re-review annually or on material change</w:t>
            </w:r>
          </w:p>
        </w:tc>
      </w:tr>
    </w:tbl>
    <w:p>
      <w:pPr>
        <w:spacing w:after="40"/>
      </w:pPr>
    </w:p>
    <w:p>
      <w:pPr>
        <w:pStyle w:val="Heading1"/>
      </w:pPr>
      <w:r>
        <w:t>3. Records of Processing (RoPA)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Data classes</w:t>
            </w:r>
          </w:p>
        </w:tc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87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Recipients</w:t>
            </w:r>
          </w:p>
        </w:tc>
        <w:tc>
          <w:tcPr>
            <w:tcW w:type="dxa" w:w="129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Retention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Party onboarding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Identity, KYC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Verify &amp; enable filing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Internal; KYC processor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Per statute; consent ≥7y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Case management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 facts, evidence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Resolve dispute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Neutrals/parties; courts on execution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Per limitation/enforcement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POSH/grievance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Special-category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Statutory redress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IC; EDRS on escalation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Statutory; strict tier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Payments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Payment/payout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Collect fees, pay neutrals</w:t>
            </w:r>
          </w:p>
        </w:tc>
        <w:tc>
          <w:tcPr>
            <w:tcW w:type="dxa" w:w="187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Razorpay/PayPal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Per tax law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Dispute Explorer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Minimised text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Advisory triage</w:t>
            </w:r>
          </w:p>
        </w:tc>
        <w:tc>
          <w:tcPr>
            <w:tcW w:type="dxa" w:w="187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AI processor (no training)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Session policy</w:t>
            </w:r>
          </w:p>
        </w:tc>
      </w:tr>
    </w:tbl>
    <w:p>
      <w:pPr>
        <w:spacing w:after="40"/>
      </w:pPr>
    </w:p>
    <w:p>
      <w:pPr>
        <w:pStyle w:val="Heading1"/>
      </w:pPr>
      <w:r>
        <w:t>4. Data-Flow Summary</w:t>
      </w:r>
    </w:p>
    <w:p>
      <w:pPr>
        <w:pStyle w:val="ListBullet"/>
      </w:pPr>
      <w:r>
        <w:t>Ingress: party/enterprise → app/API (TLS) → services (India region).</w:t>
      </w:r>
    </w:p>
    <w:p>
      <w:pPr>
        <w:pStyle w:val="ListBullet"/>
      </w:pPr>
      <w:r>
        <w:t>Processing: encrypted at rest; sensitive fields field-encrypted; events to the bus (no PII in logs).</w:t>
      </w:r>
    </w:p>
    <w:p>
      <w:pPr>
        <w:pStyle w:val="ListBullet"/>
      </w:pPr>
      <w:r>
        <w:t>Sharing: to neutrals/parties on a case (scoped), processors (sub-processors), regulators/courts as required.</w:t>
      </w:r>
    </w:p>
    <w:p>
      <w:pPr>
        <w:pStyle w:val="ListBullet"/>
      </w:pPr>
      <w:r>
        <w:t>Egress: outcomes/execution bundles to parties; anonymised analytics/transparency reporting.</w:t>
      </w:r>
    </w:p>
    <w:p>
      <w:pPr>
        <w:pStyle w:val="Heading1"/>
      </w:pPr>
      <w:r>
        <w:t>5. Retention Schedule (by class)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Data class</w:t>
            </w:r>
          </w:p>
        </w:tc>
        <w:tc>
          <w:tcPr>
            <w:tcW w:type="dxa" w:w="316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Retention</w:t>
            </w:r>
          </w:p>
        </w:tc>
        <w:tc>
          <w:tcPr>
            <w:tcW w:type="dxa" w:w="33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Basis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Consent/notice/sharing records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≥ 7 years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DPDP Rules 2025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Case records &amp; outcomes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Per limitation + enforcement needs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A&amp;C/Mediation/CPC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POSH/marital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Statutory minimum; strict tier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POSH Act; policy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Payment records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Per tax/finance law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IT Act/GST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Operational logs (PII-free)</w:t>
            </w:r>
          </w:p>
        </w:tc>
        <w:tc>
          <w:tcPr>
            <w:tcW w:type="dxa" w:w="31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Rolling per policy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Security policy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Explorer sessions</w:t>
            </w:r>
          </w:p>
        </w:tc>
        <w:tc>
          <w:tcPr>
            <w:tcW w:type="dxa" w:w="31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Limited; discardable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Minimisation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EQR-35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EQR-35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