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C · PRODUCT &amp; PROCESS</w:t>
      </w:r>
    </w:p>
    <w:p>
      <w:pPr>
        <w:pStyle w:val="Title"/>
        <w:pBdr>
          <w:bottom w:val="single" w:sz="20" w:space="6" w:color="B98A2E"/>
        </w:pBdr>
      </w:pPr>
      <w:r>
        <w:t>Edge-Case &amp; Failure-Mode Catalog</w:t>
      </w:r>
    </w:p>
    <w:p>
      <w:pPr>
        <w:spacing w:after="280"/>
      </w:pPr>
      <w:r>
        <w:rPr>
          <w:i/>
          <w:color w:val="5A6B7B"/>
          <w:sz w:val="25"/>
        </w:rPr>
        <w:t>The non-happy paths — the multi-party, exceptional and failure scenarios a real dispute platform must handle — each with the trigger, the expected behaviour and the safeguard, so nothing falls through the cracks.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EQR-37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Edge-Case &amp; Failure-Mode Catalog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ODR / Engineering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EQR-02 (engine) · EQR-36 (exception flows) · EQR-24 (tests) · EQR-41 (states)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Case-Structure Edge Cases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behaviour</w:t>
            </w:r>
          </w:p>
        </w:tc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Safeguard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Multiple claimants/respondents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Model as case_parties with roles; joint service; symmetric access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Data model supports N parties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Related cases / consolidation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Link via case_relationships; group hearings; shared record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case_groups; consolidation rules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Multi-contract / multi-clause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Capture each clause; determine governing pathway; flag conflict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Clause library; jurisdiction check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Counter-claim exceeding claim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Re-band fees; possibly change tribunal size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Fee re-computation on filing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Cross-pillar (e.g., POSH + money)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Keep POSH tier; escalate only money to EDRS with consent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Tier preserved on escalation</w:t>
            </w:r>
          </w:p>
        </w:tc>
      </w:tr>
    </w:tbl>
    <w:p>
      <w:pPr>
        <w:spacing w:after="40"/>
      </w:pPr>
    </w:p>
    <w:p>
      <w:pPr>
        <w:pStyle w:val="Heading1"/>
      </w:pPr>
      <w:r>
        <w:t>2. Party &amp; Neutral Exceptions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63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behaviour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Party withdraws</w:t>
            </w:r>
          </w:p>
        </w:tc>
        <w:tc>
          <w:tcPr>
            <w:tcW w:type="dxa" w:w="63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Record withdrawal; close or continue for others; refund unused stage fees (EQR-08)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Party dies / entity dissolved</w:t>
            </w:r>
          </w:p>
        </w:tc>
        <w:tc>
          <w:tcPr>
            <w:tcW w:type="dxa" w:w="63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Pause; admit legal heir/successor; adjust parties; clock treatment per law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Party non-responsive</w:t>
            </w:r>
          </w:p>
        </w:tc>
        <w:tc>
          <w:tcPr>
            <w:tcW w:type="dxa" w:w="63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Deemed-service rules; proceed ex-parte where law permits; heightened notice log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Neutral recuses / conflict found late</w:t>
            </w:r>
          </w:p>
        </w:tc>
        <w:tc>
          <w:tcPr>
            <w:tcW w:type="dxa" w:w="63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Reassign with full handover; notify; guarded clock reset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Neutral misses a clock</w:t>
            </w:r>
          </w:p>
        </w:tc>
        <w:tc>
          <w:tcPr>
            <w:tcW w:type="dxa" w:w="63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Escalate to institution; substitute; compliance-cockpit incident (Sev-High)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Counsel mandate revoked</w:t>
            </w:r>
          </w:p>
        </w:tc>
        <w:tc>
          <w:tcPr>
            <w:tcW w:type="dxa" w:w="63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Revoke access immediately; notify party; preserve record</w:t>
            </w:r>
          </w:p>
        </w:tc>
      </w:tr>
    </w:tbl>
    <w:p>
      <w:pPr>
        <w:spacing w:after="40"/>
      </w:pPr>
    </w:p>
    <w:p>
      <w:pPr>
        <w:pStyle w:val="Heading1"/>
      </w:pPr>
      <w:r>
        <w:t>3. Process &amp; System Failure Modes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Behaviour / recovery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Deficient filing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Open cure window; auto-reminders; expire if uncured; no case advances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Failed notice/service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Alternate channels; deemed-service; certificate records all attempts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Payment failure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Hold at ‘Filed'; retry; notify; expire unpaid draft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Escrow release blocked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Pause payout; re-open escalation; funds held; audit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e-Sign/e-Stamp provider down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Queue; retry; allow case progress except signing; alert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Video/AI outage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Graceful degradation; audio-only fallback; queue AI; case continues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Duplicate webhook / retry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Idempotent processing; dedupe on event_id (EQR-21)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Bulk intake partial failure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Row-level errors returned; good rows proceed; batch report</w:t>
            </w:r>
          </w:p>
        </w:tc>
      </w:tr>
    </w:tbl>
    <w:p>
      <w:pPr>
        <w:spacing w:after="40"/>
      </w:pPr>
    </w:p>
    <w:p>
      <w:pPr>
        <w:pStyle w:val="Heading1"/>
      </w:pPr>
      <w:r>
        <w:t>4. Legal &amp; Enforcement Edge Cases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57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Award challenged (s.34) / MSA challenged (s.28)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Move to ‘Challenged'; suspend execution; track window; preserve bundle</w:t>
            </w:r>
          </w:p>
        </w:tc>
      </w:tr>
      <w:tr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MSEFC award challenge</w:t>
            </w:r>
          </w:p>
        </w:tc>
        <w:tc>
          <w:tcPr>
            <w:tcW w:type="dxa" w:w="57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Enforce s.19 75% pre-deposit condition before challenge proceeds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Non-arbitrable issue discovered mid-case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Sever/redirect the non-arbitrable part; continue arbitrable part</w:t>
            </w:r>
          </w:p>
        </w:tc>
      </w:tr>
      <w:tr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Cross-border enforcement refused abroad</w:t>
            </w:r>
          </w:p>
        </w:tc>
        <w:tc>
          <w:tcPr>
            <w:tcW w:type="dxa" w:w="57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Record refusal ground (Art. V); advise alternative routes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Limitation expired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Block arbitration stage (limitation applies); conciliation may still proceed</w:t>
            </w:r>
          </w:p>
        </w:tc>
      </w:tr>
      <w:tr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Stamp duty dispute</w:t>
            </w:r>
          </w:p>
        </w:tc>
        <w:tc>
          <w:tcPr>
            <w:tcW w:type="dxa" w:w="57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Recompute from per-state table; re-stamp; record</w:t>
            </w:r>
          </w:p>
        </w:tc>
      </w:tr>
    </w:tbl>
    <w:p>
      <w:pPr>
        <w:spacing w:after="40"/>
      </w:pPr>
    </w:p>
    <w:p>
      <w:pPr>
        <w:pStyle w:val="Heading1"/>
      </w:pPr>
      <w:r>
        <w:t>5. Security &amp; Integrity Edge Cases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57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Suspected impersonation at hearing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Liveness re-check; pause; escalate; log</w:t>
            </w:r>
          </w:p>
        </w:tc>
      </w:tr>
      <w:tr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Deepfake/synthetic evidence flagged</w:t>
            </w:r>
          </w:p>
        </w:tc>
        <w:tc>
          <w:tcPr>
            <w:tcW w:type="dxa" w:w="57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Route to neutral review; do not auto-admit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Break-glass access to POSH record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Allow only with justification; log; notify DPO</w:t>
            </w:r>
          </w:p>
        </w:tc>
      </w:tr>
      <w:tr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Data-subject erasure request under legal hold</w:t>
            </w:r>
          </w:p>
        </w:tc>
        <w:tc>
          <w:tcPr>
            <w:tcW w:type="dxa" w:w="57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Honour rights except where legal hold applies; explain; record</w:t>
            </w:r>
          </w:p>
        </w:tc>
      </w:tr>
      <w:tr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Prompt injection in a document (Explorer)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Ignore embedded instructions; treat as data (EQR-31)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Test coverage.  </w:t>
            </w:r>
            <w:r>
              <w:rPr>
                <w:color w:val="1A1A1A"/>
                <w:sz w:val="19"/>
              </w:rPr>
              <w:t>Every row here maps to a test scenario in EQR-24; the legal-clock and enforcement edge cases are part of the release gate for any ruleset change.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EQR-37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