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hd w:val="clear" w:color="auto" w:fill="0B2E4F"/>
        <w:spacing w:after="40"/>
      </w:pPr>
      <w:r>
        <w:rPr>
          <w:sz w:val="8"/>
        </w:rPr>
        <w:t xml:space="preserve"> </w:t>
      </w:r>
    </w:p>
    <w:p>
      <w:pPr>
        <w:spacing w:before="200" w:after="40"/>
      </w:pPr>
      <w:r>
        <w:rPr>
          <w:b/>
          <w:color w:val="1F7A8C"/>
          <w:sz w:val="20"/>
        </w:rPr>
        <w:t>FAMILY A · STRATEGY &amp; GOVERNANCE</w:t>
      </w:r>
    </w:p>
    <w:p>
      <w:pPr>
        <w:pStyle w:val="Title"/>
        <w:pBdr>
          <w:bottom w:val="single" w:sz="20" w:space="6" w:color="B98A2E"/>
        </w:pBdr>
      </w:pPr>
      <w:r>
        <w:t>Glossary &amp; Ubiquitous Language</w:t>
      </w:r>
    </w:p>
    <w:p>
      <w:pPr>
        <w:spacing w:after="280"/>
      </w:pPr>
      <w:r>
        <w:rPr>
          <w:i/>
          <w:color w:val="5A6B7B"/>
          <w:sz w:val="25"/>
        </w:rPr>
        <w:t>The shared domain vocabulary for the whole documentation set — so ‘case', ‘proceeding', ‘outcome', ‘tier' and every other term mean exactly one thing to product, legal and engineering.</w:t>
      </w:r>
    </w:p>
    <w:p>
      <w:pPr>
        <w:pStyle w:val="Heading2"/>
      </w:pPr>
      <w:r>
        <w:t>Document Control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8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Field</w:t>
            </w:r>
          </w:p>
        </w:tc>
        <w:tc>
          <w:tcPr>
            <w:tcW w:type="dxa" w:w="6480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9"/>
              </w:rPr>
              <w:t>Detail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code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EQR-38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Document title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Glossary &amp; Ubiquitous Language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1.0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Date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9 July 2026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Status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Issued — living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Owner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Architecture / Legal-Ops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Classification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Confidential — Internal</w:t>
            </w:r>
          </w:p>
        </w:tc>
      </w:tr>
      <w:tr>
        <w:tc>
          <w:tcPr>
            <w:tcW w:type="dxa" w:w="28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Companions</w:t>
            </w:r>
          </w:p>
        </w:tc>
        <w:tc>
          <w:tcPr>
            <w:tcW w:type="dxa" w:w="6480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All EQR documents reference these terms</w:t>
            </w:r>
          </w:p>
        </w:tc>
      </w:tr>
      <w:tr>
        <w:tc>
          <w:tcPr>
            <w:tcW w:type="dxa" w:w="28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9"/>
              </w:rPr>
              <w:t>Principle</w:t>
            </w:r>
          </w:p>
        </w:tc>
        <w:tc>
          <w:tcPr>
            <w:tcW w:type="dxa" w:w="6480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9"/>
              </w:rPr>
              <w:t>One term = one meaning, everywhere (DDD).</w:t>
            </w:r>
          </w:p>
        </w:tc>
      </w:tr>
    </w:tbl>
    <w:p>
      <w:pPr>
        <w:spacing w:after="40"/>
      </w:pPr>
    </w:p>
    <w:p/>
    <w:p>
      <w:pPr>
        <w:pStyle w:val="Heading1"/>
      </w:pPr>
      <w:r>
        <w:t>Contents</w:t>
      </w:r>
    </w:p>
    <w:p>
      <w:r>
        <w:rPr>
          <w:color w:val="5A6B7B"/>
          <w:sz w:val="16"/>
        </w:rPr>
        <w:fldChar w:fldCharType="begin"/>
        <w:instrText xml:space="preserve">TOC \o "1-3" \h \z \u</w:instrText>
        <w:fldChar w:fldCharType="end"/>
      </w:r>
    </w:p>
    <w:p>
      <w:r>
        <w:rPr>
          <w:i/>
          <w:color w:val="5A6B7B"/>
          <w:sz w:val="17"/>
        </w:rPr>
        <w:t>(Right-click and choose “Update Field”, or press F9, to populate the table of contents.)</w:t>
      </w:r>
    </w:p>
    <w:p>
      <w:r>
        <w:br w:type="page"/>
      </w:r>
    </w:p>
    <w:p>
      <w:pPr>
        <w:pStyle w:val="Heading1"/>
      </w:pPr>
      <w:r>
        <w:t>1. Purpose</w:t>
      </w:r>
    </w:p>
    <w:p>
      <w:pPr>
        <w:spacing w:after="120"/>
      </w:pPr>
      <w:r>
        <w:rPr>
          <w:b w:val="0"/>
        </w:rPr>
        <w:t>A ubiquitous language prevents the quiet drift where the same word means different things in different documents. These definitions are authoritative across EQR-00…EQR-43. If a term needs to change, change it here first and propagate.</w:t>
      </w:r>
    </w:p>
    <w:p>
      <w:pPr>
        <w:pStyle w:val="Heading1"/>
      </w:pPr>
      <w:r>
        <w:t>2. Domain Terms</w:t>
      </w:r>
    </w:p>
    <w:tbl>
      <w:tblPr>
        <w:tblW w:type="auto" w:w="0"/>
        <w:jc w:val="center"/>
        <w:tblBorders>
          <w:top w:val="single" w:sz="4" w:space="0" w:color="C9D3DC"/>
          <w:left w:val="single" w:sz="4" w:space="0" w:color="C9D3DC"/>
          <w:bottom w:val="single" w:sz="4" w:space="0" w:color="C9D3DC"/>
          <w:right w:val="single" w:sz="4" w:space="0" w:color="C9D3DC"/>
          <w:insideH w:val="single" w:sz="4" w:space="0" w:color="C9D3DC"/>
          <w:insideV w:val="single" w:sz="4" w:space="0" w:color="C9D3DC"/>
        </w:tblBorders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rPr>
          <w:tblHeader w:val="true"/>
        </w:trPr>
        <w:tc>
          <w:tcPr>
            <w:tcW w:type="dxa" w:w="2448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Term</w:t>
            </w:r>
          </w:p>
        </w:tc>
        <w:tc>
          <w:tcPr>
            <w:tcW w:type="dxa" w:w="6912"/>
            <w:shd w:val="clear" w:color="auto" w:fill="0B2E4F"/>
            <w:tcMar>
              <w:top w:w="60" w:type="dxa"/>
              <w:left w:w="110" w:type="dxa"/>
              <w:bottom w:w="60" w:type="dxa"/>
              <w:right w:w="110" w:type="dxa"/>
            </w:tcMar>
            <w:vAlign w:val="center"/>
          </w:tcPr>
          <w:p>
            <w:pPr>
              <w:spacing w:after="20"/>
            </w:pPr>
            <w:r>
              <w:rPr>
                <w:b/>
                <w:color w:val="FFFFFF"/>
                <w:sz w:val="17"/>
              </w:rPr>
              <w:t>Definition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ADR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Alternative Dispute Resolution — negotiation, mediation, conciliation, arbitration.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Allocation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Assigning a neutral to a case (round-robin, load-balanced, rules-based, nomination, manual).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Award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 binding, reasoned decision by an arbitral tribunal; enforceable under s.36 A&amp;C Act.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Case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The top-level dispute aggregate; carries pillar, mechanism, tier, ruleset version and status.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Case-status explorer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The eCourts-style timeline/status view of a case (public and party views).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Compliance clock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 statutory or configured timer attached to states/transitions (e.g., S.29A).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Confidentiality tier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 case attribute (Standard / High / POSH-Marital) driving encryption, access and redaction.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Conciliation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 neutral actively proposes settlement terms; settlement has award-on-agreed-terms status (s.74).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Dispute Explorer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The advisory, AI-assisted pre-litigation viability tool (Claude API). Not legal advice; decides nothing.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EDRS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Equator Dispute Resolution Service — the first-party managed institution/tenant.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Escalation contract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The consented, minimal data hand-off that turns a company ticket into a case.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Execution bundle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The court-ready package (outcome, ToR, service proofs, signatures, stamp, custody) for enforcement.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Mechanism / method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The resolution method for a case: Negotiation, Conciliation, Mediation, Arbitration.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Mediation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 neutral facilitates a voluntary settlement under the Mediation Act 2023.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MSA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Mediated Settlement Agreement — signed + mediator-authenticated; enforceable as a decree (s.27).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Neutral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An arbitrator, mediator, conciliator, or case manager on the panel.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Outcome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 settlement, MSA or award produced by a proceeding.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Pillar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The dispute type/module (Family, NBFC, Commercial, MSME, Grievance, POSH, Consumer, Securities, International).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Private ADR Court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 neutral/institution tenant running an independent, branded caseload on shared rails.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Proceeding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 method instance within a case (a specific mediation or arbitration).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Ruleset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Versioned configuration that makes a pillar behave (pathway, clocks, allocation, fees, templates).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Service of process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Legally-defensible delivery of notice, evidenced by a service certificate.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SmartExecution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The party-facing tracking of an outcome through enforcement to closure.</w:t>
            </w:r>
          </w:p>
        </w:tc>
      </w:tr>
      <w:tr>
        <w:tc>
          <w:tcPr>
            <w:tcW w:type="dxa" w:w="2448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Tenant</w:t>
            </w:r>
          </w:p>
        </w:tc>
        <w:tc>
          <w:tcPr>
            <w:tcW w:type="dxa" w:w="6912"/>
            <w:shd w:val="clear" w:color="auto" w:fill="EAF1F6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An isolated customer space: EDRS, a Private Court, or an enterprise.</w:t>
            </w:r>
          </w:p>
        </w:tc>
      </w:tr>
      <w:tr>
        <w:tc>
          <w:tcPr>
            <w:tcW w:type="dxa" w:w="2448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b/>
                <w:sz w:val="17"/>
              </w:rPr>
              <w:t>Track</w:t>
            </w:r>
          </w:p>
        </w:tc>
        <w:tc>
          <w:tcPr>
            <w:tcW w:type="dxa" w:w="6912"/>
            <w:tcMar>
              <w:top w:w="60" w:type="dxa"/>
              <w:left w:w="110" w:type="dxa"/>
              <w:bottom w:w="60" w:type="dxa"/>
              <w:right w:w="110" w:type="dxa"/>
            </w:tcMar>
            <w:vAlign w:val="top"/>
          </w:tcPr>
          <w:p>
            <w:pPr>
              <w:spacing w:after="20"/>
            </w:pPr>
            <w:r>
              <w:rPr>
                <w:sz w:val="17"/>
              </w:rPr>
              <w:t>The classified route a case follows within a pillar (e.g., MSME sub-track).</w:t>
            </w:r>
          </w:p>
        </w:tc>
      </w:tr>
    </w:tbl>
    <w:p>
      <w:pPr>
        <w:spacing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tcBorders>
              <w:top w:val="single" w:sz="4" w:space="0" w:color="EAF1F6"/>
              <w:left w:val="single" w:sz="26" w:space="0" w:color="1F7A8C"/>
              <w:bottom w:val="single" w:sz="4" w:space="0" w:color="EAF1F6"/>
              <w:right w:val="single" w:sz="4" w:space="0" w:color="EAF1F6"/>
            </w:tcBorders>
            <w:shd w:val="clear" w:color="auto" w:fill="EAF1F6"/>
            <w:tcMar>
              <w:top w:w="90" w:type="dxa"/>
              <w:left w:w="150" w:type="dxa"/>
              <w:bottom w:w="90" w:type="dxa"/>
              <w:right w:w="150" w:type="dxa"/>
            </w:tcMar>
          </w:tcPr>
          <w:p>
            <w:r>
              <w:rPr>
                <w:b/>
                <w:color w:val="0B2E4F"/>
                <w:sz w:val="19"/>
              </w:rPr>
              <w:t xml:space="preserve">Anti-synonyms.  </w:t>
            </w:r>
            <w:r>
              <w:rPr>
                <w:color w:val="1A1A1A"/>
                <w:sz w:val="19"/>
              </w:rPr>
              <w:t>Do not use ‘matter' for ‘case' in specs, ‘verdict' for ‘award', ‘user' where a specific persona is meant, or ‘Equa' where ‘Equator Resolution' is meant. Consistency is a feature.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b w:val="0"/>
          <w:color w:val="5A6B7B"/>
          <w:sz w:val="18"/>
        </w:rPr>
        <w:t>End of EQR-38 v1.0.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headerReference w:type="even" r:id="rId13"/>
      <w:footerReference w:type="even" r:id="rId14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pBdr>
        <w:top w:val="single" w:sz="6" w:space="6" w:color="C9D3DC"/>
      </w:pBdr>
      <w:tabs>
        <w:tab w:pos="9360" w:val="right"/>
      </w:tabs>
    </w:pPr>
    <w:r/>
    <w:r>
      <w:rPr>
        <w:color w:val="5A6B7B"/>
        <w:sz w:val="16"/>
      </w:rPr>
      <w:t xml:space="preserve">Confidential — © 2026 Equator Resolution (Infrabyx Consultancy (OPC) Pvt. Ltd.)   </w:t>
    </w:r>
    <w:r>
      <w:rPr>
        <w:color w:val="5A6B7B"/>
        <w:sz w:val="16"/>
      </w:rPr>
      <w:tab/>
      <w:t xml:space="preserve">Page </w:t>
    </w:r>
    <w:r>
      <w:rPr>
        <w:color w:val="5A6B7B"/>
        <w:sz w:val="16"/>
      </w:rPr>
      <w:fldChar w:fldCharType="begin"/>
      <w:instrText xml:space="preserve">PAGE</w:instrText>
      <w:fldChar w:fldCharType="end"/>
    </w:r>
    <w:r>
      <w:rPr>
        <w:color w:val="5A6B7B"/>
        <w:sz w:val="16"/>
      </w:rPr>
      <w:t xml:space="preserve"> of </w:t>
    </w:r>
    <w:r>
      <w:rPr>
        <w:color w:val="5A6B7B"/>
        <w:sz w:val="16"/>
      </w:rPr>
      <w:fldChar w:fldCharType="begin"/>
      <w:instrText xml:space="preserve">NUMPAGES</w:instrText>
      <w:fldChar w:fldCharType="end"/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sz="6" w:space="6" w:color="C9D3DC"/>
      </w:pBdr>
      <w:jc w:val="left"/>
    </w:pPr>
    <w:r/>
    <w:r>
      <w:rPr>
        <w:rFonts w:ascii="Arial" w:hAnsi="Arial"/>
        <w:color w:val="5A6B7B"/>
        <w:sz w:val="16"/>
      </w:rPr>
      <w:t>EQUATOR RESOLUTION  ·  EQR-38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1A1A1A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2E4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0B2E4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60"/>
      <w:outlineLvl w:val="2"/>
    </w:pPr>
    <w:rPr>
      <w:rFonts w:asciiTheme="majorHAnsi" w:eastAsiaTheme="majorEastAsia" w:hAnsiTheme="majorHAnsi" w:cstheme="majorBidi" w:ascii="Arial" w:hAnsi="Arial"/>
      <w:b/>
      <w:bCs/>
      <w:color w:val="1F7A8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40"/>
      <w:outlineLvl w:val="3"/>
    </w:pPr>
    <w:rPr>
      <w:rFonts w:asciiTheme="majorHAnsi" w:eastAsiaTheme="majorEastAsia" w:hAnsiTheme="majorHAnsi" w:cstheme="majorBidi" w:ascii="Arial" w:hAnsi="Arial"/>
      <w:b/>
      <w:bCs/>
      <w:i/>
      <w:iCs/>
      <w:color w:val="5A6B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B2E4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