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E · WEB, MOBILE &amp; CONTENT</w:t>
      </w:r>
    </w:p>
    <w:p>
      <w:pPr>
        <w:pStyle w:val="Title"/>
        <w:pBdr>
          <w:bottom w:val="single" w:sz="20" w:space="6" w:color="B98A2E"/>
        </w:pBdr>
      </w:pPr>
      <w:r>
        <w:t>Persona Journey Maps &amp; Service Blueprints</w:t>
      </w:r>
    </w:p>
    <w:p>
      <w:pPr>
        <w:spacing w:after="280"/>
      </w:pPr>
      <w:r>
        <w:rPr>
          <w:i/>
          <w:color w:val="5A6B7B"/>
          <w:sz w:val="25"/>
        </w:rPr>
        <w:t>What each persona experiences step by step — their actions, needs and pain points (front-stage) alongside the platform and staff actions that support them (back-stage) — so the product is designed around real journeys.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EQR-39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Persona Journey Maps &amp; Service Blueprints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Product / Design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EQR-09/10 (IA &amp; copy) · EQR-19 (design) · EQR-29 (worked cases)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How to Read a Blueprint</w:t>
      </w:r>
    </w:p>
    <w:p>
      <w:pPr>
        <w:spacing w:after="120"/>
      </w:pPr>
      <w:r>
        <w:rPr>
          <w:b w:val="0"/>
        </w:rPr>
        <w:t>Each map runs left-to-right through the journey stages. ‘Front-stage' is what the persona does and feels; ‘back-stage' is what the platform and staff do to support it. Pain points flag where design must work hardest.</w:t>
      </w:r>
    </w:p>
    <w:p>
      <w:pPr>
        <w:pStyle w:val="Heading1"/>
      </w:pPr>
      <w:r>
        <w:t>2. Party (Claimant) Journey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Front-stage (persona)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Back-stage (platform/staff)</w:t>
            </w:r>
          </w:p>
        </w:tc>
        <w:tc>
          <w:tcPr>
            <w:tcW w:type="dxa" w:w="201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Pain point → design</w:t>
            </w:r>
          </w:p>
        </w:tc>
      </w:tr>
      <w:tr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Discover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Lands on site, unsure if they have a case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SEO/marketing; Dispute Explorer CTA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Fear/uncertainty → free, honest Explorer</w:t>
            </w:r>
          </w:p>
        </w:tc>
      </w:tr>
      <w:tr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Explore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Describes dispute; gets viability read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Claude call, grounded (EQR-31)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Overwhelm → guided, plain-language</w:t>
            </w:r>
          </w:p>
        </w:tc>
      </w:tr>
      <w:tr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File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Completes guided wizard; pays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Form engine (EQR-20); scrutiny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Form fatigue → save-draft, prefill</w:t>
            </w:r>
          </w:p>
        </w:tc>
      </w:tr>
      <w:tr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Proceed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Joins hearings; uploads evidence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Allocation, notice, video, DMS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Anxiety → clear status, reminders</w:t>
            </w:r>
          </w:p>
        </w:tc>
      </w:tr>
      <w:tr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Resolve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Reviews &amp; signs outcome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MSA/award, e-sign/e-stamp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Trust → verifiable, certified copy</w:t>
            </w:r>
          </w:p>
        </w:tc>
      </w:tr>
      <w:tr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Execute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Tracks recovery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Execution bundle, SmartExecution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‘Now what?' → visible tracker</w:t>
            </w:r>
          </w:p>
        </w:tc>
      </w:tr>
    </w:tbl>
    <w:p>
      <w:pPr>
        <w:spacing w:after="40"/>
      </w:pPr>
    </w:p>
    <w:p>
      <w:pPr>
        <w:pStyle w:val="Heading1"/>
      </w:pPr>
      <w:r>
        <w:t>3. Neutral Journey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Front-stage (persona)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Back-stage (platform/staff)</w:t>
            </w:r>
          </w:p>
        </w:tc>
        <w:tc>
          <w:tcPr>
            <w:tcW w:type="dxa" w:w="201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Pain point → design</w:t>
            </w:r>
          </w:p>
        </w:tc>
      </w:tr>
      <w:tr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Onboard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Applies, gets empanelled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KYC, accreditation, panel decision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Slow onboarding → Academy fast-track</w:t>
            </w:r>
          </w:p>
        </w:tc>
      </w:tr>
      <w:tr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Receive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Offered a matter; conflict-checks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Allocation + conflict engine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Wrong-fit → rules-based match</w:t>
            </w:r>
          </w:p>
        </w:tc>
      </w:tr>
      <w:tr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Work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Runs sessions; drafts outcome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Workspace, clocks, AI assist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Clock stress → amber/red alerts</w:t>
            </w:r>
          </w:p>
        </w:tc>
      </w:tr>
      <w:tr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Get paid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Raises fee note; receives payout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Split settlement, payouts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Opaque pay → transparent statement</w:t>
            </w:r>
          </w:p>
        </w:tc>
      </w:tr>
      <w:tr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Grow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Builds reputation / Private Court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Scorecards, Private Court setup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Ceiling → own branded caseload</w:t>
            </w:r>
          </w:p>
        </w:tc>
      </w:tr>
    </w:tbl>
    <w:p>
      <w:pPr>
        <w:spacing w:after="40"/>
      </w:pPr>
    </w:p>
    <w:p>
      <w:pPr>
        <w:pStyle w:val="Heading1"/>
      </w:pPr>
      <w:r>
        <w:t>4. Enterprise Admin Journey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Front-stage (persona)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Back-stage (platform/staff)</w:t>
            </w:r>
          </w:p>
        </w:tc>
        <w:tc>
          <w:tcPr>
            <w:tcW w:type="dxa" w:w="201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Pain point → design</w:t>
            </w:r>
          </w:p>
        </w:tc>
      </w:tr>
      <w:tr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Integrate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Adds ADR clause; connects systems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Clause config, API keys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Effort → templates + sandbox</w:t>
            </w:r>
          </w:p>
        </w:tc>
      </w:tr>
      <w:tr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Operate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Bulk-refers; monitors SLAs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Bulk intake, dashboards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Volume → heatmap + alerts</w:t>
            </w:r>
          </w:p>
        </w:tc>
      </w:tr>
      <w:tr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Escalate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Unresolved tickets → Equator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Escalation contract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Compliance risk → auto-escalate + consent</w:t>
            </w:r>
          </w:p>
        </w:tc>
      </w:tr>
      <w:tr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Report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Board/regulator reporting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Exports, transparency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Audit → one-click reports</w:t>
            </w:r>
          </w:p>
        </w:tc>
      </w:tr>
    </w:tbl>
    <w:p>
      <w:pPr>
        <w:spacing w:after="40"/>
      </w:pPr>
    </w:p>
    <w:p>
      <w:pPr>
        <w:pStyle w:val="Heading1"/>
      </w:pPr>
      <w:r>
        <w:t>5. IC Member (POSH) Journey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Front-stage (persona)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Back-stage (platform/staff)</w:t>
            </w:r>
          </w:p>
        </w:tc>
        <w:tc>
          <w:tcPr>
            <w:tcW w:type="dxa" w:w="201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Pain point → design</w:t>
            </w:r>
          </w:p>
        </w:tc>
      </w:tr>
      <w:tr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Constitute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Sets up committee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IC wizard (≥50% women, external)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Compliance → guided setup</w:t>
            </w:r>
          </w:p>
        </w:tc>
      </w:tr>
      <w:tr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Inquire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Runs confidential inquiry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Restricted tier, 90-day clock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Sensitivity → strict access, break-glass</w:t>
            </w:r>
          </w:p>
        </w:tc>
      </w:tr>
      <w:tr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Recommend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Issues recommendation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Action tracking, annual report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Follow-through → tracked actions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Design implication.  </w:t>
            </w:r>
            <w:r>
              <w:rPr>
                <w:color w:val="1A1A1A"/>
                <w:sz w:val="19"/>
              </w:rPr>
              <w:t>The recurring pain points — uncertainty, form fatigue, clock stress, opacity of pay, and ‘now what?' after an outcome — are exactly what the Explorer, form engine, compliance clocks, transparent payouts and SmartExecution are designed to solve.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5A6B7B"/>
          <w:sz w:val="18"/>
        </w:rPr>
        <w:t>End of EQR-39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EQR-39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