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B2E4F"/>
        <w:spacing w:after="40"/>
      </w:pPr>
      <w:r>
        <w:rPr>
          <w:sz w:val="8"/>
        </w:rPr>
        <w:t xml:space="preserve"> </w:t>
      </w:r>
    </w:p>
    <w:p>
      <w:pPr>
        <w:spacing w:before="200" w:after="40"/>
      </w:pPr>
      <w:r>
        <w:rPr>
          <w:b/>
          <w:color w:val="1F7A8C"/>
          <w:sz w:val="20"/>
        </w:rPr>
        <w:t>FAMILY D · LEGAL &amp; COMPLIANCE</w:t>
      </w:r>
    </w:p>
    <w:p>
      <w:pPr>
        <w:pStyle w:val="Title"/>
        <w:pBdr>
          <w:bottom w:val="single" w:sz="20" w:space="6" w:color="B98A2E"/>
        </w:pBdr>
      </w:pPr>
      <w:r>
        <w:t>Operational Runbooks</w:t>
      </w:r>
    </w:p>
    <w:p>
      <w:pPr>
        <w:spacing w:after="280"/>
      </w:pPr>
      <w:r>
        <w:rPr>
          <w:i/>
          <w:color w:val="5A6B7B"/>
          <w:sz w:val="25"/>
        </w:rPr>
        <w:t>Step-by-step runbooks for the recurring operational procedures — onboarding a lender, empaneling a neutral, responding to a data breach, failing over to DR, and running a bulk intake — so ops can execute repeatably and safely.</w:t>
      </w:r>
    </w:p>
    <w:p>
      <w:pPr>
        <w:pStyle w:val="Heading2"/>
      </w:pPr>
      <w:r>
        <w:t>Document Control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4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code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EQR-40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title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Operational Runbooks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9 July 2026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Issued — living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Owner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Head of Ops / SRE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Confidential — Internal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Companions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EQR-23 (ops) · EQR-05 (neutrals) · EQR-06 (enterprise) · EQR-14 (breach)</w:t>
            </w:r>
          </w:p>
        </w:tc>
      </w:tr>
    </w:tbl>
    <w:p>
      <w:pPr>
        <w:spacing w:after="40"/>
      </w:pPr>
    </w:p>
    <w:p/>
    <w:p>
      <w:pPr>
        <w:pStyle w:val="Heading1"/>
      </w:pPr>
      <w:r>
        <w:t>Contents</w:t>
      </w:r>
    </w:p>
    <w:p>
      <w:r>
        <w:rPr>
          <w:color w:val="5A6B7B"/>
          <w:sz w:val="16"/>
        </w:rPr>
        <w:fldChar w:fldCharType="begin"/>
        <w:instrText xml:space="preserve">TOC \o "1-3" \h \z \u</w:instrText>
        <w:fldChar w:fldCharType="end"/>
      </w:r>
    </w:p>
    <w:p>
      <w:r>
        <w:rPr>
          <w:i/>
          <w:color w:val="5A6B7B"/>
          <w:sz w:val="17"/>
        </w:rPr>
        <w:t>(Right-click and choose “Update Field”, or press F9, to populate the table of contents.)</w:t>
      </w:r>
    </w:p>
    <w:p>
      <w:r>
        <w:br w:type="page"/>
      </w:r>
    </w:p>
    <w:p>
      <w:pPr>
        <w:pStyle w:val="Heading1"/>
      </w:pPr>
      <w:r>
        <w:t>1. How to Use</w:t>
      </w:r>
    </w:p>
    <w:p>
      <w:pPr>
        <w:spacing w:after="120"/>
      </w:pPr>
      <w:r>
        <w:rPr>
          <w:b w:val="0"/>
        </w:rPr>
        <w:t>Each runbook lists the trigger, pre-checks, exact steps, verification and rollback/escalation. Keep them in version control with owners; rehearse the breach and DR runbooks quarterly.</w:t>
      </w:r>
    </w:p>
    <w:p>
      <w:pPr>
        <w:pStyle w:val="Heading1"/>
      </w:pPr>
      <w:r>
        <w:t>2. Onboard a Lender (NBFC)</w:t>
      </w:r>
    </w:p>
    <w:p>
      <w:pPr>
        <w:spacing w:after="120"/>
      </w:pPr>
      <w:r>
        <w:rPr>
          <w:b/>
        </w:rPr>
        <w:t>Trigger: A new lender signs and wants to route disputes to Equator.</w:t>
      </w:r>
    </w:p>
    <w:p>
      <w:pPr>
        <w:pStyle w:val="Heading3"/>
      </w:pPr>
      <w:r>
        <w:t>Steps</w:t>
      </w:r>
    </w:p>
    <w:p>
      <w:pPr>
        <w:pStyle w:val="ListNumber"/>
      </w:pPr>
      <w:r>
        <w:t>Create the enterprise tenant; set branding and confidentiality defaults.</w:t>
      </w:r>
    </w:p>
    <w:p>
      <w:pPr>
        <w:pStyle w:val="ListNumber"/>
      </w:pPr>
      <w:r>
        <w:t>Configure the NBFC ruleset (EQR-32) and fee rate card (EQR-08).</w:t>
      </w:r>
    </w:p>
    <w:p>
      <w:pPr>
        <w:pStyle w:val="ListNumber"/>
      </w:pPr>
      <w:r>
        <w:t>Issue API keys (sandbox first); share the escalation + bulk-intake docs (EQR-06).</w:t>
      </w:r>
    </w:p>
    <w:p>
      <w:pPr>
        <w:pStyle w:val="ListNumber"/>
      </w:pPr>
      <w:r>
        <w:t>Load the ADR clause into their loan template; confirm borrower-consent capture.</w:t>
      </w:r>
    </w:p>
    <w:p>
      <w:pPr>
        <w:pStyle w:val="ListNumber"/>
      </w:pPr>
      <w:r>
        <w:t>Run a sandbox bulk batch; validate row-level results and webhooks.</w:t>
      </w:r>
    </w:p>
    <w:p>
      <w:pPr>
        <w:pStyle w:val="ListNumber"/>
      </w:pPr>
      <w:r>
        <w:t>Promote to production; enable monitoring and SLA dashboards.</w:t>
      </w:r>
    </w:p>
    <w:p>
      <w:pPr>
        <w:pStyle w:val="Heading3"/>
      </w:pPr>
      <w:r>
        <w:t>Verify &amp; escalate</w:t>
      </w:r>
    </w:p>
    <w:p>
      <w:pPr>
        <w:pStyle w:val="ListBullet"/>
      </w:pPr>
      <w:r>
        <w:rPr>
          <w:b/>
        </w:rPr>
        <w:t xml:space="preserve">Verify: </w:t>
      </w:r>
      <w:r>
        <w:t>A test case flows end-to-end and outcome syncs back to the lender.</w:t>
      </w:r>
    </w:p>
    <w:p>
      <w:pPr>
        <w:pStyle w:val="ListBullet"/>
      </w:pPr>
      <w:r>
        <w:rPr>
          <w:b/>
        </w:rPr>
        <w:t xml:space="preserve">Escalate / rollback: </w:t>
      </w:r>
      <w:r>
        <w:t>If webhooks fail, check signing secret + retries; escalate to Partnerships Eng.</w:t>
      </w:r>
    </w:p>
    <w:p>
      <w:pPr>
        <w:pStyle w:val="Heading1"/>
      </w:pPr>
      <w:r>
        <w:t>3. Empanel a Neutral</w:t>
      </w:r>
    </w:p>
    <w:p>
      <w:pPr>
        <w:spacing w:after="120"/>
      </w:pPr>
      <w:r>
        <w:rPr>
          <w:b/>
        </w:rPr>
        <w:t>Trigger: A qualified neutral (or Academy graduate) applies.</w:t>
      </w:r>
    </w:p>
    <w:p>
      <w:pPr>
        <w:pStyle w:val="Heading3"/>
      </w:pPr>
      <w:r>
        <w:t>Steps</w:t>
      </w:r>
    </w:p>
    <w:p>
      <w:pPr>
        <w:pStyle w:val="ListNumber"/>
      </w:pPr>
      <w:r>
        <w:t>Verify identity, qualifications and accreditation (IMI/ACI); doc-AI assisted.</w:t>
      </w:r>
    </w:p>
    <w:p>
      <w:pPr>
        <w:pStyle w:val="ListNumber"/>
      </w:pPr>
      <w:r>
        <w:t>Load declared conflicts into the conflicts graph.</w:t>
      </w:r>
    </w:p>
    <w:p>
      <w:pPr>
        <w:pStyle w:val="ListNumber"/>
      </w:pPr>
      <w:r>
        <w:t>Grade and assign panels, languages, jurisdictions and fee band.</w:t>
      </w:r>
    </w:p>
    <w:p>
      <w:pPr>
        <w:pStyle w:val="ListNumber"/>
      </w:pPr>
      <w:r>
        <w:t>Enable allocation eligibility; set availability.</w:t>
      </w:r>
    </w:p>
    <w:p>
      <w:pPr>
        <w:pStyle w:val="ListNumber"/>
      </w:pPr>
      <w:r>
        <w:t>Verify payout bank details (step-up); send welcome + code of conduct.</w:t>
      </w:r>
    </w:p>
    <w:p>
      <w:pPr>
        <w:pStyle w:val="Heading3"/>
      </w:pPr>
      <w:r>
        <w:t>Verify &amp; escalate</w:t>
      </w:r>
    </w:p>
    <w:p>
      <w:pPr>
        <w:pStyle w:val="ListBullet"/>
      </w:pPr>
      <w:r>
        <w:rPr>
          <w:b/>
        </w:rPr>
        <w:t xml:space="preserve">Verify: </w:t>
      </w:r>
      <w:r>
        <w:t>Neutral appears in allocation pool and can accept a test matter.</w:t>
      </w:r>
    </w:p>
    <w:p>
      <w:pPr>
        <w:pStyle w:val="ListBullet"/>
      </w:pPr>
      <w:r>
        <w:rPr>
          <w:b/>
        </w:rPr>
        <w:t xml:space="preserve">Escalate / rollback: </w:t>
      </w:r>
      <w:r>
        <w:t>On failed verification, hold and request documents; do not enable allocation.</w:t>
      </w:r>
    </w:p>
    <w:p>
      <w:pPr>
        <w:pStyle w:val="Heading1"/>
      </w:pPr>
      <w:r>
        <w:t>4. Data-Breach Response (DPDP)</w:t>
      </w:r>
    </w:p>
    <w:p>
      <w:pPr>
        <w:spacing w:after="120"/>
      </w:pPr>
      <w:r>
        <w:rPr>
          <w:b/>
        </w:rPr>
        <w:t>Trigger: Suspected or confirmed personal-data breach.</w:t>
      </w:r>
    </w:p>
    <w:p>
      <w:pPr>
        <w:pStyle w:val="Heading3"/>
      </w:pPr>
      <w:r>
        <w:t>Steps</w:t>
      </w:r>
    </w:p>
    <w:p>
      <w:pPr>
        <w:pStyle w:val="ListNumber"/>
      </w:pPr>
      <w:r>
        <w:t>Declare incident (Sev-High); assemble response team; preserve evidence (legal hold).</w:t>
      </w:r>
    </w:p>
    <w:p>
      <w:pPr>
        <w:pStyle w:val="ListNumber"/>
      </w:pPr>
      <w:r>
        <w:t>Contain: isolate, revoke tokens/keys, stop the leak.</w:t>
      </w:r>
    </w:p>
    <w:p>
      <w:pPr>
        <w:pStyle w:val="ListNumber"/>
      </w:pPr>
      <w:r>
        <w:t>Assess scope and affected data principals.</w:t>
      </w:r>
    </w:p>
    <w:p>
      <w:pPr>
        <w:pStyle w:val="ListNumber"/>
      </w:pPr>
      <w:r>
        <w:t>Notify the Data Protection Board without delay and file the detailed report within 72 hours.</w:t>
      </w:r>
    </w:p>
    <w:p>
      <w:pPr>
        <w:pStyle w:val="ListNumber"/>
      </w:pPr>
      <w:r>
        <w:t>Notify affected principals in plain language (what, data, mitigations, contact).</w:t>
      </w:r>
    </w:p>
    <w:p>
      <w:pPr>
        <w:pStyle w:val="ListNumber"/>
      </w:pPr>
      <w:r>
        <w:t>Remediate root cause; verify; document.</w:t>
      </w:r>
    </w:p>
    <w:p>
      <w:pPr>
        <w:pStyle w:val="Heading3"/>
      </w:pPr>
      <w:r>
        <w:t>Verify &amp; escalate</w:t>
      </w:r>
    </w:p>
    <w:p>
      <w:pPr>
        <w:pStyle w:val="ListBullet"/>
      </w:pPr>
      <w:r>
        <w:rPr>
          <w:b/>
        </w:rPr>
        <w:t xml:space="preserve">Verify: </w:t>
      </w:r>
      <w:r>
        <w:t>Board + principal notifications sent within the 72-hour window; RCA complete.</w:t>
      </w:r>
    </w:p>
    <w:p>
      <w:pPr>
        <w:pStyle w:val="ListBullet"/>
      </w:pPr>
      <w:r>
        <w:rPr>
          <w:b/>
        </w:rPr>
        <w:t xml:space="preserve">Escalate / rollback: </w:t>
      </w:r>
      <w:r>
        <w:t>If unsure of scope, over-notify; involve DPO + counsel immediately.</w:t>
      </w:r>
    </w:p>
    <w:p>
      <w:pPr>
        <w:pStyle w:val="Heading1"/>
      </w:pPr>
      <w:r>
        <w:t>5. DR Failover</w:t>
      </w:r>
    </w:p>
    <w:p>
      <w:pPr>
        <w:spacing w:after="120"/>
      </w:pPr>
      <w:r>
        <w:rPr>
          <w:b/>
        </w:rPr>
        <w:t>Trigger: Primary region degraded/unavailable.</w:t>
      </w:r>
    </w:p>
    <w:p>
      <w:pPr>
        <w:pStyle w:val="Heading3"/>
      </w:pPr>
      <w:r>
        <w:t>Steps</w:t>
      </w:r>
    </w:p>
    <w:p>
      <w:pPr>
        <w:pStyle w:val="ListNumber"/>
      </w:pPr>
      <w:r>
        <w:t>Confirm incident and decision to fail over (on-call + SRE lead).</w:t>
      </w:r>
    </w:p>
    <w:p>
      <w:pPr>
        <w:pStyle w:val="ListNumber"/>
      </w:pPr>
      <w:r>
        <w:t>Promote the DR region standby; verify data currency (RPO ≤ 15 min).</w:t>
      </w:r>
    </w:p>
    <w:p>
      <w:pPr>
        <w:pStyle w:val="ListNumber"/>
      </w:pPr>
      <w:r>
        <w:t>Redirect traffic; validate core journeys (file, status, e-sign).</w:t>
      </w:r>
    </w:p>
    <w:p>
      <w:pPr>
        <w:pStyle w:val="ListNumber"/>
      </w:pPr>
      <w:r>
        <w:t>Communicate status; monitor SLO burn.</w:t>
      </w:r>
    </w:p>
    <w:p>
      <w:pPr>
        <w:pStyle w:val="ListNumber"/>
      </w:pPr>
      <w:r>
        <w:t>When primary recovers, plan controlled failback with data reconciliation.</w:t>
      </w:r>
    </w:p>
    <w:p>
      <w:pPr>
        <w:pStyle w:val="Heading3"/>
      </w:pPr>
      <w:r>
        <w:t>Verify &amp; escalate</w:t>
      </w:r>
    </w:p>
    <w:p>
      <w:pPr>
        <w:pStyle w:val="ListBullet"/>
      </w:pPr>
      <w:r>
        <w:rPr>
          <w:b/>
        </w:rPr>
        <w:t xml:space="preserve">Verify: </w:t>
      </w:r>
      <w:r>
        <w:t>Core case services healthy in DR within RTO ≤ 2 h; no audit/clock data loss.</w:t>
      </w:r>
    </w:p>
    <w:p>
      <w:pPr>
        <w:pStyle w:val="ListBullet"/>
      </w:pPr>
      <w:r>
        <w:rPr>
          <w:b/>
        </w:rPr>
        <w:t xml:space="preserve">Escalate / rollback: </w:t>
      </w:r>
      <w:r>
        <w:t>If DR data is stale, halt writes; reconcile from event store before resuming.</w:t>
      </w:r>
    </w:p>
    <w:p>
      <w:pPr>
        <w:pStyle w:val="Heading1"/>
      </w:pPr>
      <w:r>
        <w:t>6. Bulk Intake Run</w:t>
      </w:r>
    </w:p>
    <w:p>
      <w:pPr>
        <w:spacing w:after="120"/>
      </w:pPr>
      <w:r>
        <w:rPr>
          <w:b/>
        </w:rPr>
        <w:t>Trigger: A lender submits a large batch of disputes.</w:t>
      </w:r>
    </w:p>
    <w:p>
      <w:pPr>
        <w:pStyle w:val="Heading3"/>
      </w:pPr>
      <w:r>
        <w:t>Steps</w:t>
      </w:r>
    </w:p>
    <w:p>
      <w:pPr>
        <w:pStyle w:val="ListNumber"/>
      </w:pPr>
      <w:r>
        <w:t>Validate the batch schema (CSV/API); dry-run in sandbox.</w:t>
      </w:r>
    </w:p>
    <w:p>
      <w:pPr>
        <w:pStyle w:val="ListNumber"/>
      </w:pPr>
      <w:r>
        <w:t>Submit; workers process with backpressure; capture row-level results.</w:t>
      </w:r>
    </w:p>
    <w:p>
      <w:pPr>
        <w:pStyle w:val="ListNumber"/>
      </w:pPr>
      <w:r>
        <w:t>Return a batch report (accepted / deficient / rejected with reasons).</w:t>
      </w:r>
    </w:p>
    <w:p>
      <w:pPr>
        <w:pStyle w:val="ListNumber"/>
      </w:pPr>
      <w:r>
        <w:t>Trigger notices for accepted cases; monitor throughput.</w:t>
      </w:r>
    </w:p>
    <w:p>
      <w:pPr>
        <w:pStyle w:val="ListNumber"/>
      </w:pPr>
      <w:r>
        <w:t>Reconcile counts with the lender; handle exceptions individually.</w:t>
      </w:r>
    </w:p>
    <w:p>
      <w:pPr>
        <w:pStyle w:val="Heading3"/>
      </w:pPr>
      <w:r>
        <w:t>Verify &amp; escalate</w:t>
      </w:r>
    </w:p>
    <w:p>
      <w:pPr>
        <w:pStyle w:val="ListBullet"/>
      </w:pPr>
      <w:r>
        <w:rPr>
          <w:b/>
        </w:rPr>
        <w:t xml:space="preserve">Verify: </w:t>
      </w:r>
      <w:r>
        <w:t>Accepted rows become cases with notices served; report delivered.</w:t>
      </w:r>
    </w:p>
    <w:p>
      <w:pPr>
        <w:pStyle w:val="ListBullet"/>
      </w:pPr>
      <w:r>
        <w:rPr>
          <w:b/>
        </w:rPr>
        <w:t xml:space="preserve">Escalate / rollback: </w:t>
      </w:r>
      <w:r>
        <w:t>On partial failure, good rows proceed; re-submit only failed rows.</w:t>
      </w:r>
    </w:p>
    <w:p>
      <w:pPr>
        <w:spacing w:after="120"/>
      </w:pPr>
      <w:r>
        <w:rPr>
          <w:b w:val="0"/>
          <w:color w:val="5A6B7B"/>
          <w:sz w:val="18"/>
        </w:rPr>
        <w:t>End of EQR-40 v1.0.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6" w:color="C9D3DC"/>
      </w:pBdr>
      <w:tabs>
        <w:tab w:pos="9360" w:val="right"/>
      </w:tabs>
    </w:pPr>
    <w:r/>
    <w:r>
      <w:rPr>
        <w:color w:val="5A6B7B"/>
        <w:sz w:val="16"/>
      </w:rPr>
      <w:t xml:space="preserve">Confidential — © 2026 Equator Resolution (Infrabyx Consultancy (OPC) Pvt. Ltd.)   </w:t>
    </w:r>
    <w:r>
      <w:rPr>
        <w:color w:val="5A6B7B"/>
        <w:sz w:val="16"/>
      </w:rPr>
      <w:tab/>
      <w:t xml:space="preserve">Page </w:t>
    </w:r>
    <w:r>
      <w:rPr>
        <w:color w:val="5A6B7B"/>
        <w:sz w:val="16"/>
      </w:rPr>
      <w:fldChar w:fldCharType="begin"/>
      <w:instrText xml:space="preserve">PAGE</w:instrText>
      <w:fldChar w:fldCharType="end"/>
    </w:r>
    <w:r>
      <w:rPr>
        <w:color w:val="5A6B7B"/>
        <w:sz w:val="16"/>
      </w:rPr>
      <w:t xml:space="preserve"> of </w:t>
    </w:r>
    <w:r>
      <w:rPr>
        <w:color w:val="5A6B7B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6" w:color="C9D3DC"/>
      </w:pBdr>
      <w:jc w:val="left"/>
    </w:pPr>
    <w:r/>
    <w:r>
      <w:rPr>
        <w:rFonts w:ascii="Arial" w:hAnsi="Arial"/>
        <w:color w:val="5A6B7B"/>
        <w:sz w:val="16"/>
      </w:rPr>
      <w:t>EQUATOR RESOLUTION  ·  EQR-40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B2E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B2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5A6B7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B2E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