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B · ARCHITECTURE &amp; BUILD</w:t>
      </w:r>
    </w:p>
    <w:p>
      <w:pPr>
        <w:pStyle w:val="Title"/>
        <w:pBdr>
          <w:bottom w:val="single" w:sz="20" w:space="6" w:color="B98A2E"/>
        </w:pBdr>
      </w:pPr>
      <w:r>
        <w:t>State-Transition &amp; Limitation Reference</w:t>
      </w:r>
    </w:p>
    <w:p>
      <w:pPr>
        <w:spacing w:after="280"/>
      </w:pPr>
      <w:r>
        <w:rPr>
          <w:i/>
          <w:color w:val="5A6B7B"/>
          <w:sz w:val="25"/>
        </w:rPr>
        <w:t>The precise rules the engine enforces — the full case state × event × guard transition table, the compliance-clock reference, and a limitation-period table by cause of action.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EQR-41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State-Transition &amp; Limitation Reference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Architecture / Legal-Ops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EQR-02 (engine) · EQR-04 (law) · EQR-21 (events) · EQR-37 (edge cases)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Caveat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Limitation periods are indicative; verify current law per matter.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Case State-Transition Table</w:t>
      </w:r>
    </w:p>
    <w:p>
      <w:pPr>
        <w:spacing w:after="120"/>
      </w:pPr>
      <w:r>
        <w:rPr>
          <w:b w:val="0"/>
        </w:rPr>
        <w:t>From-state × event → to-state, with the guard that must hold. Every transition emits the event (EQR-21) and may start/stop a clock.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From</w:t>
            </w:r>
          </w:p>
        </w:tc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316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Guard</w:t>
            </w:r>
          </w:p>
        </w:tc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To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Draft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submit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fee paid + consent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Filed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Filed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scrutinise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intake complete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UnderScrutiny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UnderScrutiny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raise_deficiency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defect found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Deficient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Deficient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cure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within cure window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UnderScrutiny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Deficient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expire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cure window elapsed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UnderScrutiny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accept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valid + arbitrable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Accepted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Accepted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appoint_neutral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allocation + conflict clear + accept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NeutralAppointed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NeutralAppointed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serve_notice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service attempted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NoticeServed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NoticeServed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begin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 served/deemed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InProceedings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InProceedings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draft_outcome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hearings complete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OutcomeDrafted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OutcomeDrafted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sign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maker-checker passed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SignedStamped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SignedStamped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settle_funds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payment/escrow done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FundsSettled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FundsSettled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close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certified copy issued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SignedStamped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initiate_execution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s.34/s.28 window elapsed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InExecution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SignedStamped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challenge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challenge filed in time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Challenged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Challenged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resume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challenge dismissed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InExecution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Any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withdraw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party withdraws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Closed</w:t>
            </w:r>
          </w:p>
        </w:tc>
      </w:tr>
    </w:tbl>
    <w:p>
      <w:pPr>
        <w:spacing w:after="40"/>
      </w:pPr>
    </w:p>
    <w:p>
      <w:pPr>
        <w:pStyle w:val="Heading1"/>
      </w:pPr>
      <w:r>
        <w:t>2. Compliance-Clock Reference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59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Clock</w:t>
            </w:r>
          </w:p>
        </w:tc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Limit (extension)</w:t>
            </w:r>
          </w:p>
        </w:tc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Pre-conciliation (securities)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complaint filed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21 days (+10)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SEBI SMART-ODR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Pre-institution mediation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reference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90 days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Commercial Courts s.12A / Mediation Act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Mediation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commences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120 days (+60)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Mediation Act 2023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MSA challenge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MSA received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90 days (+90)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Mediation Act s.28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Award (S.29A)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pleadings complete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12 months (+6)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A&amp;C Act s.29A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Award challenge (S.34)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award received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 months (+30 days)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A&amp;C Act s.34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MSME resolution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MSEFC reference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90 days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MSMED Act s.18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POSH inquiry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complaint admitted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90 days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POSH Act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Lending grievance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grievance logged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30 days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RBI directions</w:t>
            </w:r>
          </w:p>
        </w:tc>
      </w:tr>
    </w:tbl>
    <w:p>
      <w:pPr>
        <w:spacing w:after="40"/>
      </w:pPr>
    </w:p>
    <w:p>
      <w:pPr>
        <w:pStyle w:val="Heading1"/>
      </w:pPr>
      <w:r>
        <w:t>3. Limitation by Cause of Action (indicative)</w:t>
      </w:r>
    </w:p>
    <w:p>
      <w:pPr>
        <w:spacing w:after="120"/>
      </w:pPr>
      <w:r>
        <w:rPr>
          <w:b w:val="0"/>
        </w:rPr>
        <w:t>Indicative periods under the Limitation Act 1963 and related law; verify per matter. Note: limitation applies to the arbitration stage (not conciliation) under the MSMED route.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17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Cause of action</w:t>
            </w:r>
          </w:p>
        </w:tc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Indicative period</w:t>
            </w:r>
          </w:p>
        </w:tc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From</w:t>
            </w:r>
          </w:p>
        </w:tc>
      </w:tr>
      <w:tr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Contract — money due (price of goods/services)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 years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when payment fell due</w:t>
            </w:r>
          </w:p>
        </w:tc>
      </w:tr>
      <w:tr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Breach of contract (damages)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 years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date of breach</w:t>
            </w:r>
          </w:p>
        </w:tc>
      </w:tr>
      <w:tr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Recovery under a written instrument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 years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when the right accrues</w:t>
            </w:r>
          </w:p>
        </w:tc>
      </w:tr>
      <w:tr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Application to set aside an award (s.34)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 months (+30 days)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receipt of award</w:t>
            </w:r>
          </w:p>
        </w:tc>
      </w:tr>
      <w:tr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Challenge to an MSA (s.28)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90 days (+90)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receipt of MSA</w:t>
            </w:r>
          </w:p>
        </w:tc>
      </w:tr>
      <w:tr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Enforcement of a decree/award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12 years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when the decree/award becomes enforceable</w:t>
            </w:r>
          </w:p>
        </w:tc>
      </w:tr>
      <w:tr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Consumer complaint (CPA)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 years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cause of action arises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Build note.  </w:t>
            </w:r>
            <w:r>
              <w:rPr>
                <w:color w:val="1A1A1A"/>
                <w:sz w:val="19"/>
              </w:rPr>
              <w:t>The state table is the engine's transition contract; the clock and limitation tables are configuration (ruleset + limitation_rules). Any change here is a ruleset/data migration (EQR-32), gated by tests (EQR-24).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EQR-41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EQR-41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