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Bottoms-Up Market Model (Note)</w:t>
      </w:r>
    </w:p>
    <w:p>
      <w:pPr>
        <w:spacing w:after="280"/>
      </w:pPr>
      <w:r>
        <w:rPr>
          <w:i/>
          <w:color w:val="5A6B7B"/>
          <w:sz w:val="25"/>
        </w:rPr>
        <w:t>A short reading guide to the bottoms-up TAM / SAM / SOM market model — how it is built, how it complements the top-down figures in EQR-13 and the driver model in EQR-17, and how to use it.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EQR-42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Bottoms-Up Market Model — Note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— illustrative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 / Strategy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EQR-42_Market_Model.xlsx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EQR-13 (top-down market) · EQR-17 (driver P&amp;L) · EQR-34 (sources)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What This Adds</w:t>
      </w:r>
    </w:p>
    <w:p>
      <w:pPr>
        <w:spacing w:after="120"/>
      </w:pPr>
      <w:r>
        <w:rPr>
          <w:b w:val="0"/>
        </w:rPr>
        <w:t>EQR-13 sizes the market top-down (analyst ranges). This model sizes it bottoms-up: for each dispute pillar it starts from the annual dispute universe (TAM), applies a digitally-addressable share (SAM), then Equator's obtainable share at a Year-3 target (SOM), and multiplies by average revenue per case to get an obtainable revenue. Two independent methods that should be triangulated, not treated as forecasts.</w:t>
      </w:r>
    </w:p>
    <w:p>
      <w:pPr>
        <w:pStyle w:val="Heading1"/>
      </w:pPr>
      <w:r>
        <w:t>2. How to Use the Workbook</w:t>
      </w:r>
    </w:p>
    <w:p>
      <w:pPr>
        <w:pStyle w:val="ListBullet"/>
      </w:pPr>
      <w:r>
        <w:t>Change only the BLUE inputs on ‘1. TAM-SAM-SOM' (dispute universe, addressable %, target share %, avg revenue/case).</w:t>
      </w:r>
    </w:p>
    <w:p>
      <w:pPr>
        <w:pStyle w:val="ListBullet"/>
      </w:pPr>
      <w:r>
        <w:t>The black cells compute SAM, SOM and SOM revenue (₹ cr); the TOTAL row aggregates.</w:t>
      </w:r>
    </w:p>
    <w:p>
      <w:pPr>
        <w:pStyle w:val="ListBullet"/>
      </w:pPr>
      <w:r>
        <w:t>‘2. Sensitivity' flexes the blended target share (0.5x–2.0x) to show the revenue range.</w:t>
      </w:r>
    </w:p>
    <w:p>
      <w:pPr>
        <w:pStyle w:val="ListBullet"/>
      </w:pPr>
      <w:r>
        <w:t>Cross-check the total against the EQR-17 driver P&amp;L — they should be in the same ballpark by Year 3.</w:t>
      </w:r>
    </w:p>
    <w:p>
      <w:pPr>
        <w:pStyle w:val="Heading1"/>
      </w:pPr>
      <w:r>
        <w:t>3. Caveats</w:t>
      </w:r>
    </w:p>
    <w:p>
      <w:pPr>
        <w:pStyle w:val="ListBullet"/>
      </w:pPr>
      <w:r>
        <w:t>The dispute-universe and addressable figures are directional estimates; re-verify against EQR-34 sources.</w:t>
      </w:r>
    </w:p>
    <w:p>
      <w:pPr>
        <w:pStyle w:val="ListBullet"/>
      </w:pPr>
      <w:r>
        <w:t>Obtainable share assumes sequenced wedge execution (win one lane first, EQR-13 §8).</w:t>
      </w:r>
    </w:p>
    <w:p>
      <w:pPr>
        <w:pStyle w:val="ListBullet"/>
      </w:pPr>
      <w:r>
        <w:t>This is a planning tool, not a forecast or projection of actual results.</w:t>
      </w:r>
    </w:p>
    <w:p>
      <w:pPr>
        <w:spacing w:after="120"/>
      </w:pPr>
      <w:r>
        <w:rPr>
          <w:b w:val="0"/>
          <w:color w:val="5A6B7B"/>
          <w:sz w:val="18"/>
        </w:rPr>
        <w:t>End of EQR-42 note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EQR-42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