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Accessibility &amp; Vernacular Pack</w:t>
      </w:r>
    </w:p>
    <w:p>
      <w:pPr>
        <w:spacing w:after="280"/>
      </w:pPr>
      <w:r>
        <w:rPr>
          <w:i/>
          <w:color w:val="5A6B7B"/>
          <w:sz w:val="25"/>
        </w:rPr>
        <w:t>Access to justice in practice — component-by-component WCAG 2.2 AA acceptance criteria and screen-reader scripts, plus the multilingual and vernacular content workflow that lets non-English, low-literacy and low-bandwidth users use the platform.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EQR-43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Accessibility &amp; Vernacular Pack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Design / Front-end Lead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EQR-19 (design system) · EQR-25 (front-end) · EQR-09/10 (IA &amp; copy)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Why This Matters</w:t>
      </w:r>
    </w:p>
    <w:p>
      <w:pPr>
        <w:spacing w:after="120"/>
      </w:pPr>
      <w:r>
        <w:rPr>
          <w:b w:val="0"/>
        </w:rPr>
        <w:t>India's digital divide is the single biggest barrier to ODR adoption. Accessibility and vernacular access are not features — they are the product's reach. This pack makes EQR-19's WCAG floor concrete, component by component, and specifies how content becomes multilingual and usable on weak networks and assistive tech.</w:t>
      </w:r>
    </w:p>
    <w:p>
      <w:pPr>
        <w:pStyle w:val="Heading1"/>
      </w:pPr>
      <w:r>
        <w:t>2. Component-Level WCAG 2.2 AA Criteria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Must pass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Button / link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Role &amp; name in the accessible tree; keyboard operable; visible focus; ≥24×24px target; not colour-only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Text field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Programmatic label; error via aria-describedby; required announced; autocomplete where useful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Select / combobox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Keyboard listbox pattern; announced options; type-ahead; no mouse-only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Checkbox / radio / switch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Grouped with fieldset/legend; state announced; keyboard toggle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File upload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Label; drag-and-drop AND button; progress announced; error text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Header cells (scope); caption; sortable state announced; not used for layout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Modal / drawer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Focus trapped then restored; Esc closes; aria-modal; background inert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Toast / alert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aria-live (polite/assertive as apt); not the only signal; dismissible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Stepper (wizard)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Current step announced; back/next keyboard; progress text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Clock pill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Status in text (‘41 days left'), not colour alone; announced on change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Video hearing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Captions; keyboard controls; audio-only fallback; transcript</w:t>
            </w:r>
          </w:p>
        </w:tc>
      </w:tr>
    </w:tbl>
    <w:p>
      <w:pPr>
        <w:spacing w:after="40"/>
      </w:pPr>
    </w:p>
    <w:p>
      <w:pPr>
        <w:pStyle w:val="Heading1"/>
      </w:pPr>
      <w:r>
        <w:t>3. Screen-Reader Flow Scripts (examples)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File a Claim — step 2  </w:t>
            </w:r>
            <w:r>
              <w:rPr>
                <w:color w:val="1A1A1A"/>
                <w:sz w:val="19"/>
              </w:rPr>
              <w:t>‘Heading, What is the dispute about. Combo box, Dispute category, Family selected, 6 of 6. … Group, Preferred method, Mediation selected. … Button, Continue, files step 2 of 5.' Every control announces role, name, state and position; errors are read on submit and focus moves to the first error.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Case status  </w:t>
            </w:r>
            <w:r>
              <w:rPr>
                <w:color w:val="1A1A1A"/>
                <w:sz w:val="19"/>
              </w:rPr>
              <w:t>‘Region, case status. Heading, Commercial, Arbitration. Status, In proceedings. Timeline, 5 of 7 complete. Alert, award clock, 41 days left.' The timeline is a list; the clock is a live region announced when it changes tier.</w:t>
            </w:r>
          </w:p>
        </w:tc>
      </w:tr>
    </w:tbl>
    <w:p>
      <w:pPr>
        <w:spacing w:after="40"/>
      </w:pPr>
    </w:p>
    <w:p>
      <w:pPr>
        <w:pStyle w:val="Heading1"/>
      </w:pPr>
      <w:r>
        <w:t>4. Assisted, Kiosk &amp; Low-Bandwidth</w:t>
      </w:r>
    </w:p>
    <w:p>
      <w:pPr>
        <w:pStyle w:val="ListBullet"/>
      </w:pPr>
      <w:r>
        <w:rPr>
          <w:b/>
        </w:rPr>
        <w:t xml:space="preserve">Assisted filing: </w:t>
      </w:r>
      <w:r>
        <w:t>Common-service-centre / call-centre mode: an operator files on behalf with the party's consent recorded.</w:t>
      </w:r>
    </w:p>
    <w:p>
      <w:pPr>
        <w:pStyle w:val="ListBullet"/>
      </w:pPr>
      <w:r>
        <w:rPr>
          <w:b/>
        </w:rPr>
        <w:t xml:space="preserve">Kiosk: </w:t>
      </w:r>
      <w:r>
        <w:t>Simplified, large-target flow for shared devices; session auto-clears sensitive data on exit.</w:t>
      </w:r>
    </w:p>
    <w:p>
      <w:pPr>
        <w:pStyle w:val="ListBullet"/>
      </w:pPr>
      <w:r>
        <w:rPr>
          <w:b/>
        </w:rPr>
        <w:t xml:space="preserve">IVR / voice: </w:t>
      </w:r>
      <w:r>
        <w:t>Phone intake and status for feature-phone and low-literacy users; voice-to-text in Indian languages.</w:t>
      </w:r>
    </w:p>
    <w:p>
      <w:pPr>
        <w:pStyle w:val="ListBullet"/>
      </w:pPr>
      <w:r>
        <w:rPr>
          <w:b/>
        </w:rPr>
        <w:t xml:space="preserve">Low bandwidth: </w:t>
      </w:r>
      <w:r>
        <w:t>Progressive/offline filing, audio-only hearings, SMS/WhatsApp status — usable on 2G/patchy networks.</w:t>
      </w:r>
    </w:p>
    <w:p>
      <w:pPr>
        <w:pStyle w:val="Heading1"/>
      </w:pPr>
      <w:r>
        <w:t>5. Vernacular &amp; Translation Workflow</w:t>
      </w:r>
    </w:p>
    <w:p>
      <w:pPr>
        <w:pStyle w:val="ListNumber"/>
      </w:pPr>
      <w:r>
        <w:t>Externalise all strings as i18n keys (EQR-25); no hard-coded literals.</w:t>
      </w:r>
    </w:p>
    <w:p>
      <w:pPr>
        <w:pStyle w:val="ListNumber"/>
      </w:pPr>
      <w:r>
        <w:t>Source language English; professional + reviewed machine translation into target Indian languages.</w:t>
      </w:r>
    </w:p>
    <w:p>
      <w:pPr>
        <w:pStyle w:val="ListNumber"/>
      </w:pPr>
      <w:r>
        <w:t>Vernacular fonts and correct number/date/locale formatting; lang attributes set per content.</w:t>
      </w:r>
    </w:p>
    <w:p>
      <w:pPr>
        <w:pStyle w:val="ListNumber"/>
      </w:pPr>
      <w:r>
        <w:t>Legal notices and orders: human-reviewed vernacular templates (accuracy is enforceability).</w:t>
      </w:r>
    </w:p>
    <w:p>
      <w:pPr>
        <w:pStyle w:val="ListNumber"/>
      </w:pPr>
      <w:r>
        <w:t>Document translation on demand (machine + human) for evidence and outcomes, with provenance.</w:t>
      </w:r>
    </w:p>
    <w:p>
      <w:pPr>
        <w:pStyle w:val="ListNumber"/>
      </w:pPr>
      <w:r>
        <w:t>Continuous: new/changed strings flow to a translation queue; releases gated on coverage.</w:t>
      </w:r>
    </w:p>
    <w:p>
      <w:pPr>
        <w:pStyle w:val="Heading1"/>
      </w:pPr>
      <w:r>
        <w:t>6. Testing &amp; Governance</w:t>
      </w:r>
    </w:p>
    <w:p>
      <w:pPr>
        <w:pStyle w:val="ListBullet"/>
      </w:pPr>
      <w:r>
        <w:t>Automated axe checks in CI + manual screen-reader (NVDA/VoiceOver) and keyboard passes on key flows (EQR-24).</w:t>
      </w:r>
    </w:p>
    <w:p>
      <w:pPr>
        <w:pStyle w:val="ListBullet"/>
      </w:pPr>
      <w:r>
        <w:t>Accessibility acceptance criteria are part of each component's Storybook story and its definition of done.</w:t>
      </w:r>
    </w:p>
    <w:p>
      <w:pPr>
        <w:pStyle w:val="ListBullet"/>
      </w:pPr>
      <w:r>
        <w:t>A published accessibility statement; user-reported issues tracked with SLAs.</w:t>
      </w:r>
    </w:p>
    <w:p>
      <w:pPr>
        <w:pStyle w:val="ListBullet"/>
      </w:pPr>
      <w:r>
        <w:t>Vernacular coverage and quality reviewed each release; legal-template translations counsel-reviewed.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Standard.  </w:t>
            </w:r>
            <w:r>
              <w:rPr>
                <w:color w:val="1A1A1A"/>
                <w:sz w:val="19"/>
              </w:rPr>
              <w:t>WCAG 2.2 AA is the floor, not the ceiling. Where a statutory process (POSH, family) demands extra care, the accessible flow must also preserve confidentiality — accessible and confidential are not in tension when designed together.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EQR-43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EQR-43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