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A2B4A"/>
          <w:sz w:val="48"/>
        </w:rPr>
        <w:t>DRSP Platform — Architecture Improvement Recommendations</w:t>
      </w:r>
    </w:p>
    <w:p>
      <w:r>
        <w:rPr>
          <w:rFonts w:ascii="Arial" w:hAnsi="Arial"/>
          <w:color w:val="5A6B85"/>
          <w:sz w:val="24"/>
        </w:rPr>
        <w:t>Research-backed enhancements · ODR/ADR Dispute Resolution Service Provider · India · June 2026</w:t>
      </w:r>
    </w:p>
    <w:p/>
    <w:p>
      <w:pPr>
        <w:pStyle w:val="Heading1"/>
      </w:pPr>
      <w:r>
        <w:t>Document Control</w:t>
      </w:r>
    </w:p>
    <w:tbl>
      <w:tblPr>
        <w:tblStyle w:val="LightGrid-Accent1"/>
        <w:tblW w:type="auto" w:w="0"/>
        <w:jc w:val="left"/>
        <w:tblLook w:firstColumn="1" w:firstRow="1" w:lastColumn="0" w:lastRow="0" w:noHBand="0" w:noVBand="1" w:val="04A0"/>
      </w:tblPr>
      <w:tblGrid>
        <w:gridCol w:w="4824"/>
        <w:gridCol w:w="4824"/>
      </w:tblGrid>
      <w:tr>
        <w:tc>
          <w:tcPr>
            <w:tcW w:type="dxa" w:w="4824"/>
          </w:tcPr>
          <w:p>
            <w:r>
              <w:rPr>
                <w:b/>
              </w:rPr>
              <w:t>Attribute</w:t>
            </w:r>
          </w:p>
        </w:tc>
        <w:tc>
          <w:tcPr>
            <w:tcW w:type="dxa" w:w="4824"/>
          </w:tcPr>
          <w:p>
            <w:r>
              <w:rPr>
                <w:b/>
              </w:rPr>
              <w:t>Detail</w:t>
            </w:r>
          </w:p>
        </w:tc>
      </w:tr>
      <w:tr>
        <w:tc>
          <w:tcPr>
            <w:tcW w:type="dxa" w:w="4824"/>
          </w:tcPr>
          <w:p>
            <w:r>
              <w:t>Document</w:t>
            </w:r>
          </w:p>
        </w:tc>
        <w:tc>
          <w:tcPr>
            <w:tcW w:type="dxa" w:w="4824"/>
          </w:tcPr>
          <w:p>
            <w:r>
              <w:t>DRSP Platform — Architecture Improvement Recommendations</w:t>
            </w:r>
          </w:p>
        </w:tc>
      </w:tr>
      <w:tr>
        <w:tc>
          <w:tcPr>
            <w:tcW w:type="dxa" w:w="4824"/>
          </w:tcPr>
          <w:p>
            <w:r>
              <w:t>Owner</w:t>
            </w:r>
          </w:p>
        </w:tc>
        <w:tc>
          <w:tcPr>
            <w:tcW w:type="dxa" w:w="4824"/>
          </w:tcPr>
          <w:p>
            <w:r>
              <w:t>LawDocs / Infrabyx</w:t>
            </w:r>
          </w:p>
        </w:tc>
      </w:tr>
      <w:tr>
        <w:tc>
          <w:tcPr>
            <w:tcW w:type="dxa" w:w="4824"/>
          </w:tcPr>
          <w:p>
            <w:r>
              <w:t>Version</w:t>
            </w:r>
          </w:p>
        </w:tc>
        <w:tc>
          <w:tcPr>
            <w:tcW w:type="dxa" w:w="4824"/>
          </w:tcPr>
          <w:p>
            <w:r>
              <w:t>1.0 — June 2026</w:t>
            </w:r>
          </w:p>
        </w:tc>
      </w:tr>
      <w:tr>
        <w:tc>
          <w:tcPr>
            <w:tcW w:type="dxa" w:w="4824"/>
          </w:tcPr>
          <w:p>
            <w:r>
              <w:t>Status</w:t>
            </w:r>
          </w:p>
        </w:tc>
        <w:tc>
          <w:tcPr>
            <w:tcW w:type="dxa" w:w="4824"/>
          </w:tcPr>
          <w:p>
            <w:r>
              <w:t>Advisory — for review &amp; prioritisation</w:t>
            </w:r>
          </w:p>
        </w:tc>
      </w:tr>
      <w:tr>
        <w:tc>
          <w:tcPr>
            <w:tcW w:type="dxa" w:w="4824"/>
          </w:tcPr>
          <w:p>
            <w:r>
              <w:t>Basis</w:t>
            </w:r>
          </w:p>
        </w:tc>
        <w:tc>
          <w:tcPr>
            <w:tcW w:type="dxa" w:w="4824"/>
          </w:tcPr>
          <w:p>
            <w:r>
              <w:t>Internet research: regulatory updates, leading-platform benchmarking, ODR/AI standards</w:t>
            </w:r>
          </w:p>
        </w:tc>
      </w:tr>
      <w:tr>
        <w:tc>
          <w:tcPr>
            <w:tcW w:type="dxa" w:w="4824"/>
          </w:tcPr>
          <w:p>
            <w:r>
              <w:t>Related</w:t>
            </w:r>
          </w:p>
        </w:tc>
        <w:tc>
          <w:tcPr>
            <w:tcW w:type="dxa" w:w="4824"/>
          </w:tcPr>
          <w:p>
            <w:r>
              <w:t>DRSP Architecture Vol I–III; Executive Briefing; Capability Coverage Register</w:t>
            </w:r>
          </w:p>
        </w:tc>
      </w:tr>
      <w:tr>
        <w:tc>
          <w:tcPr>
            <w:tcW w:type="dxa" w:w="4824"/>
          </w:tcPr>
          <w:p>
            <w:r>
              <w:t>Confidentiality</w:t>
            </w:r>
          </w:p>
        </w:tc>
        <w:tc>
          <w:tcPr>
            <w:tcW w:type="dxa" w:w="4824"/>
          </w:tcPr>
          <w:p>
            <w:r>
              <w:t>Confidential</w:t>
            </w:r>
          </w:p>
        </w:tc>
      </w:tr>
    </w:tbl>
    <w:p>
      <w:pPr>
        <w:pStyle w:val="Heading1"/>
      </w:pPr>
      <w:r>
        <w:t>How to Read This</w:t>
      </w:r>
    </w:p>
    <w:p>
      <w:r>
        <w:t>This advisory captures concrete, prioritised improvements to the DRSP architecture, grounded in current regulatory developments and ODR best practice. Each recommendation states the gap, the recommendation, where it lands in the architecture, and a priority (P1 = do first / compliance-critical; P2 = strong differentiator; P3 = forward-looking). A research-source list is at the end.</w:t>
      </w:r>
    </w:p>
    <w:p>
      <w:pPr>
        <w:pStyle w:val="Heading1"/>
      </w:pPr>
      <w:r>
        <w:t>Executive Summary — Top 12 Improvements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w:t>
            </w:r>
          </w:p>
        </w:tc>
        <w:tc>
          <w:tcPr>
            <w:tcW w:type="dxa" w:w="3216"/>
          </w:tcPr>
          <w:p>
            <w:r>
              <w:rPr>
                <w:b/>
              </w:rPr>
              <w:t>Improvement</w:t>
            </w:r>
          </w:p>
        </w:tc>
        <w:tc>
          <w:tcPr>
            <w:tcW w:type="dxa" w:w="3216"/>
          </w:tcPr>
          <w:p>
            <w:r>
              <w:rPr>
                <w:b/>
              </w:rPr>
              <w:t>Priority</w:t>
            </w:r>
          </w:p>
        </w:tc>
      </w:tr>
      <w:tr>
        <w:tc>
          <w:tcPr>
            <w:tcW w:type="dxa" w:w="3216"/>
          </w:tcPr>
          <w:p>
            <w:r>
              <w:t>1</w:t>
            </w:r>
          </w:p>
        </w:tc>
        <w:tc>
          <w:tcPr>
            <w:tcW w:type="dxa" w:w="3216"/>
          </w:tcPr>
          <w:p>
            <w:r>
              <w:t>Align fully with the finalised DPDP Rules 2025 (consent manager, 72-hr breach notice, SDF duties, 7-yr consent records)</w:t>
            </w:r>
          </w:p>
        </w:tc>
        <w:tc>
          <w:tcPr>
            <w:tcW w:type="dxa" w:w="3216"/>
          </w:tcPr>
          <w:p>
            <w:r>
              <w:t>P1</w:t>
            </w:r>
          </w:p>
        </w:tc>
      </w:tr>
      <w:tr>
        <w:tc>
          <w:tcPr>
            <w:tcW w:type="dxa" w:w="3216"/>
          </w:tcPr>
          <w:p>
            <w:r>
              <w:t>2</w:t>
            </w:r>
          </w:p>
        </w:tc>
        <w:tc>
          <w:tcPr>
            <w:tcW w:type="dxa" w:w="3216"/>
          </w:tcPr>
          <w:p>
            <w:r>
              <w:t>Build for the Arbitration &amp; Conciliation (Amendment) Bill 2024 (audio-visual arbitration, digitally-signed agreements, institutional powers)</w:t>
            </w:r>
          </w:p>
        </w:tc>
        <w:tc>
          <w:tcPr>
            <w:tcW w:type="dxa" w:w="3216"/>
          </w:tcPr>
          <w:p>
            <w:r>
              <w:t>P1</w:t>
            </w:r>
          </w:p>
        </w:tc>
      </w:tr>
      <w:tr>
        <w:tc>
          <w:tcPr>
            <w:tcW w:type="dxa" w:w="3216"/>
          </w:tcPr>
          <w:p>
            <w:r>
              <w:t>3</w:t>
            </w:r>
          </w:p>
        </w:tc>
        <w:tc>
          <w:tcPr>
            <w:tcW w:type="dxa" w:w="3216"/>
          </w:tcPr>
          <w:p>
            <w:r>
              <w:t>Add a SEBI SMART-ODR-compatible track (mandatory conciliation→arbitration, 21+10 day clocks, SCORES/intermediary SSO)</w:t>
            </w:r>
          </w:p>
        </w:tc>
        <w:tc>
          <w:tcPr>
            <w:tcW w:type="dxa" w:w="3216"/>
          </w:tcPr>
          <w:p>
            <w:r>
              <w:t>P1</w:t>
            </w:r>
          </w:p>
        </w:tc>
      </w:tr>
      <w:tr>
        <w:tc>
          <w:tcPr>
            <w:tcW w:type="dxa" w:w="3216"/>
          </w:tcPr>
          <w:p>
            <w:r>
              <w:t>4</w:t>
            </w:r>
          </w:p>
        </w:tc>
        <w:tc>
          <w:tcPr>
            <w:tcW w:type="dxa" w:w="3216"/>
          </w:tcPr>
          <w:p>
            <w:r>
              <w:t>Algorithmic transparency &amp; AI explainability layer (ICODR/ethics-aligned; challengeable, auditable AI)</w:t>
            </w:r>
          </w:p>
        </w:tc>
        <w:tc>
          <w:tcPr>
            <w:tcW w:type="dxa" w:w="3216"/>
          </w:tcPr>
          <w:p>
            <w:r>
              <w:t>P1</w:t>
            </w:r>
          </w:p>
        </w:tc>
      </w:tr>
      <w:tr>
        <w:tc>
          <w:tcPr>
            <w:tcW w:type="dxa" w:w="3216"/>
          </w:tcPr>
          <w:p>
            <w:r>
              <w:t>5</w:t>
            </w:r>
          </w:p>
        </w:tc>
        <w:tc>
          <w:tcPr>
            <w:tcW w:type="dxa" w:w="3216"/>
          </w:tcPr>
          <w:p>
            <w:r>
              <w:t>Accessibility &amp; digital-divide design (WCAG 2.2 AA, assisted/kiosk/IVR/vernacular, low-bandwidth)</w:t>
            </w:r>
          </w:p>
        </w:tc>
        <w:tc>
          <w:tcPr>
            <w:tcW w:type="dxa" w:w="3216"/>
          </w:tcPr>
          <w:p>
            <w:r>
              <w:t>P1</w:t>
            </w:r>
          </w:p>
        </w:tc>
      </w:tr>
      <w:tr>
        <w:tc>
          <w:tcPr>
            <w:tcW w:type="dxa" w:w="3216"/>
          </w:tcPr>
          <w:p>
            <w:r>
              <w:t>6</w:t>
            </w:r>
          </w:p>
        </w:tc>
        <w:tc>
          <w:tcPr>
            <w:tcW w:type="dxa" w:w="3216"/>
          </w:tcPr>
          <w:p>
            <w:r>
              <w:t>Qualified timestamping &amp; tamper-evident ledger for awards/evidence (eIDAS-style trust services)</w:t>
            </w:r>
          </w:p>
        </w:tc>
        <w:tc>
          <w:tcPr>
            <w:tcW w:type="dxa" w:w="3216"/>
          </w:tcPr>
          <w:p>
            <w:r>
              <w:t>P2</w:t>
            </w:r>
          </w:p>
        </w:tc>
      </w:tr>
      <w:tr>
        <w:tc>
          <w:tcPr>
            <w:tcW w:type="dxa" w:w="3216"/>
          </w:tcPr>
          <w:p>
            <w:r>
              <w:t>7</w:t>
            </w:r>
          </w:p>
        </w:tc>
        <w:tc>
          <w:tcPr>
            <w:tcW w:type="dxa" w:w="3216"/>
          </w:tcPr>
          <w:p>
            <w:r>
              <w:t>Enforcement &amp; New York Convention readiness pack for cross-border awards/settlements</w:t>
            </w:r>
          </w:p>
        </w:tc>
        <w:tc>
          <w:tcPr>
            <w:tcW w:type="dxa" w:w="3216"/>
          </w:tcPr>
          <w:p>
            <w:r>
              <w:t>P2</w:t>
            </w:r>
          </w:p>
        </w:tc>
      </w:tr>
      <w:tr>
        <w:tc>
          <w:tcPr>
            <w:tcW w:type="dxa" w:w="3216"/>
          </w:tcPr>
          <w:p>
            <w:r>
              <w:t>8</w:t>
            </w:r>
          </w:p>
        </w:tc>
        <w:tc>
          <w:tcPr>
            <w:tcW w:type="dxa" w:w="3216"/>
          </w:tcPr>
          <w:p>
            <w:r>
              <w:t>Court-annexed &amp; Lok Adalat integration (referrals, e-courts/NJDG-style interoperability)</w:t>
            </w:r>
          </w:p>
        </w:tc>
        <w:tc>
          <w:tcPr>
            <w:tcW w:type="dxa" w:w="3216"/>
          </w:tcPr>
          <w:p>
            <w:r>
              <w:t>P2</w:t>
            </w:r>
          </w:p>
        </w:tc>
      </w:tr>
      <w:tr>
        <w:tc>
          <w:tcPr>
            <w:tcW w:type="dxa" w:w="3216"/>
          </w:tcPr>
          <w:p>
            <w:r>
              <w:t>9</w:t>
            </w:r>
          </w:p>
        </w:tc>
        <w:tc>
          <w:tcPr>
            <w:tcW w:type="dxa" w:w="3216"/>
          </w:tcPr>
          <w:p>
            <w:r>
              <w:t>ODR-specific fairness controls: equality of arms, due-process checklist, internal appeal/review</w:t>
            </w:r>
          </w:p>
        </w:tc>
        <w:tc>
          <w:tcPr>
            <w:tcW w:type="dxa" w:w="3216"/>
          </w:tcPr>
          <w:p>
            <w:r>
              <w:t>P1</w:t>
            </w:r>
          </w:p>
        </w:tc>
      </w:tr>
      <w:tr>
        <w:tc>
          <w:tcPr>
            <w:tcW w:type="dxa" w:w="3216"/>
          </w:tcPr>
          <w:p>
            <w:r>
              <w:t>10</w:t>
            </w:r>
          </w:p>
        </w:tc>
        <w:tc>
          <w:tcPr>
            <w:tcW w:type="dxa" w:w="3216"/>
          </w:tcPr>
          <w:p>
            <w:r>
              <w:t>Fraud, identity-assurance &amp; deepfake defence for remote hearings and e-sign</w:t>
            </w:r>
          </w:p>
        </w:tc>
        <w:tc>
          <w:tcPr>
            <w:tcW w:type="dxa" w:w="3216"/>
          </w:tcPr>
          <w:p>
            <w:r>
              <w:t>P2</w:t>
            </w:r>
          </w:p>
        </w:tc>
      </w:tr>
      <w:tr>
        <w:tc>
          <w:tcPr>
            <w:tcW w:type="dxa" w:w="3216"/>
          </w:tcPr>
          <w:p>
            <w:r>
              <w:t>11</w:t>
            </w:r>
          </w:p>
        </w:tc>
        <w:tc>
          <w:tcPr>
            <w:tcW w:type="dxa" w:w="3216"/>
          </w:tcPr>
          <w:p>
            <w:r>
              <w:t>Arbitration Council of India (ACI) accreditation &amp; neutral-grading readiness</w:t>
            </w:r>
          </w:p>
        </w:tc>
        <w:tc>
          <w:tcPr>
            <w:tcW w:type="dxa" w:w="3216"/>
          </w:tcPr>
          <w:p>
            <w:r>
              <w:t>P2</w:t>
            </w:r>
          </w:p>
        </w:tc>
      </w:tr>
      <w:tr>
        <w:tc>
          <w:tcPr>
            <w:tcW w:type="dxa" w:w="3216"/>
          </w:tcPr>
          <w:p>
            <w:r>
              <w:t>12</w:t>
            </w:r>
          </w:p>
        </w:tc>
        <w:tc>
          <w:tcPr>
            <w:tcW w:type="dxa" w:w="3216"/>
          </w:tcPr>
          <w:p>
            <w:r>
              <w:t>Observability of fairness/bias metrics + model-risk governance dashboard</w:t>
            </w:r>
          </w:p>
        </w:tc>
        <w:tc>
          <w:tcPr>
            <w:tcW w:type="dxa" w:w="3216"/>
          </w:tcPr>
          <w:p>
            <w:r>
              <w:t>P3</w:t>
            </w:r>
          </w:p>
        </w:tc>
      </w:tr>
    </w:tbl>
    <w:p>
      <w:r>
        <w:br w:type="page"/>
      </w:r>
    </w:p>
    <w:p>
      <w:pPr>
        <w:pStyle w:val="Heading1"/>
      </w:pPr>
      <w:r>
        <w:t>1  Regulatory Currency — Update to 2025–26 Instruments</w:t>
      </w:r>
    </w:p>
    <w:p>
      <w:pPr>
        <w:pStyle w:val="Heading2"/>
      </w:pPr>
      <w:r>
        <w:t>1.1  DPDP Rules 2025 (finalised)</w:t>
      </w:r>
    </w:p>
    <w:p>
      <w:r>
        <w:t>Gap: the architecture cites the DPDP Act 2023 at principle level but predates the finalised DPDP Rules 2025 (notified Nov 2025), which set concrete operational obligations and dates.</w:t>
      </w:r>
    </w:p>
    <w:p>
      <w:r>
        <w:t>Recommendation: bind the platform to the Rules' specifics — Consent Manager integration (single interface to give/withdraw consent; registration regime effective Nov 2026); breach notification to affected data principals within 72 hours with the prescribed plain-language content and to the Data Protection Board; retention of consent/notice/sharing records for at least 7 years; and, if the DRSP is designated a Significant Data Fiduciary, annual DPIA, annual audit, algorithmic-fairness assessment and a named DPO. Penalties for failure to notify reach ₹200 crore — make breach drills and timelines first-class.</w:t>
      </w:r>
    </w:p>
    <w:p>
      <w:r>
        <w:t>Where: Vol II §9 (add a 'DPDP Rules 2025 operational obligations' subsection and a compliance-deadline calendar: core/Board live Nov-2025, consent-manager Nov-2026, substantive obligations May-2027).</w:t>
      </w:r>
    </w:p>
    <w:p>
      <w:pPr>
        <w:pStyle w:val="Heading2"/>
      </w:pPr>
      <w:r>
        <w:t>1.2  Arbitration &amp; Conciliation (Amendment) Bill 2024</w:t>
      </w:r>
    </w:p>
    <w:p>
      <w:r>
        <w:t>Gap: the draft Bill expressly recognises arbitration conducted wholly or partly by audio-visual electronic means, validates digitally-signed arbitration agreements, and grants arbitral institutions enhanced powers (extend award time-limits, reduce arbitrator fees for tribunal-caused delay, substitute arbitrators), while dropping 'conciliation' from the Act's title in line with the Mediation Act 2023.</w:t>
      </w:r>
    </w:p>
    <w:p>
      <w:r>
        <w:t>Recommendation: make audio-visual arbitration a first-class, compliant mode; capture digitally-signed arbitration agreements at filing; add institution-side controls for time-limit extension, fee reduction and arbitrator substitution; and separate conciliation handling so it tracks the Mediation Act regime.</w:t>
      </w:r>
    </w:p>
    <w:p>
      <w:r>
        <w:t>Where: Vol I §5.7 (audio-visual mode, institution powers), §5.3 (digitally-signed agreement capture), §5.8 (substitution); Vol II §18 (framework mapping updated).</w:t>
      </w:r>
    </w:p>
    <w:p>
      <w:pPr>
        <w:pStyle w:val="Heading2"/>
      </w:pPr>
      <w:r>
        <w:t>1.3  SEBI SMART-ODR Compatibility</w:t>
      </w:r>
    </w:p>
    <w:p>
      <w:r>
        <w:t>Gap: securities-market disputes follow SEBI's ODR Master Circular and the common SMART ODR Portal, with a mandatory two-stage process (online conciliation first, then arbitration), defined clocks (conciliation within 21 calendar days, extendable by 10), and enrolment via SCORES/intermediary credentials.</w:t>
      </w:r>
    </w:p>
    <w:p>
      <w:r>
        <w:t>Recommendation: add a configurable 'SEBI track' — mandatory conciliation→arbitration sequencing, the statutory clocks, SCORES/intermediary SSO, and interoperability with the SMART ODR portal model — so the platform can serve MIIs, intermediaries and regulated entities.</w:t>
      </w:r>
    </w:p>
    <w:p>
      <w:r>
        <w:t>Where: Vol I §5.6 (SEBI workflow variant), §5.1 (SCORES SSO), §5.24 (SMART-ODR interoperability).</w:t>
      </w:r>
    </w:p>
    <w:p>
      <w:r>
        <w:br w:type="page"/>
      </w:r>
    </w:p>
    <w:p>
      <w:pPr>
        <w:pStyle w:val="Heading1"/>
      </w:pPr>
      <w:r>
        <w:t>2  Access to Justice — Closing the Digital Divide</w:t>
      </w:r>
    </w:p>
    <w:p>
      <w:r>
        <w:t>Gap: India's digital divide is the single biggest barrier to ODR adoption (low rural connectivity; accessibility for differently-abled users is an industry-wide gap). The architecture mentions multilingual and WCAG alignment but does not engineer for assisted access and low-bandwidth contexts.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Recommendation</w:t>
            </w:r>
          </w:p>
        </w:tc>
        <w:tc>
          <w:tcPr>
            <w:tcW w:type="dxa" w:w="3216"/>
          </w:tcPr>
          <w:p>
            <w:r>
              <w:rPr>
                <w:b/>
              </w:rPr>
              <w:t>Detail</w:t>
            </w:r>
          </w:p>
        </w:tc>
        <w:tc>
          <w:tcPr>
            <w:tcW w:type="dxa" w:w="3216"/>
          </w:tcPr>
          <w:p>
            <w:r>
              <w:rPr>
                <w:b/>
              </w:rPr>
              <w:t>Where</w:t>
            </w:r>
          </w:p>
        </w:tc>
      </w:tr>
      <w:tr>
        <w:tc>
          <w:tcPr>
            <w:tcW w:type="dxa" w:w="3216"/>
          </w:tcPr>
          <w:p>
            <w:r>
              <w:t>WCAG 2.2 AA conformance</w:t>
            </w:r>
          </w:p>
        </w:tc>
        <w:tc>
          <w:tcPr>
            <w:tcW w:type="dxa" w:w="3216"/>
          </w:tcPr>
          <w:p>
            <w:r>
              <w:t>Formal accessibility conformance, screen-reader support, captioned hearings, keyboard-only flows</w:t>
            </w:r>
          </w:p>
        </w:tc>
        <w:tc>
          <w:tcPr>
            <w:tcW w:type="dxa" w:w="3216"/>
          </w:tcPr>
          <w:p>
            <w:r>
              <w:t>Vol II §7 / new §7a Accessibility</w:t>
            </w:r>
          </w:p>
        </w:tc>
      </w:tr>
      <w:tr>
        <w:tc>
          <w:tcPr>
            <w:tcW w:type="dxa" w:w="3216"/>
          </w:tcPr>
          <w:p>
            <w:r>
              <w:t>Assisted &amp; phygital channels</w:t>
            </w:r>
          </w:p>
        </w:tc>
        <w:tc>
          <w:tcPr>
            <w:tcW w:type="dxa" w:w="3216"/>
          </w:tcPr>
          <w:p>
            <w:r>
              <w:t>Kiosk mode, common-service-centre/assisted filing, IVR/voice and call-centre intake for non-digital users</w:t>
            </w:r>
          </w:p>
        </w:tc>
        <w:tc>
          <w:tcPr>
            <w:tcW w:type="dxa" w:w="3216"/>
          </w:tcPr>
          <w:p>
            <w:r>
              <w:t>Vol I §5.3 / §5.20</w:t>
            </w:r>
          </w:p>
        </w:tc>
      </w:tr>
      <w:tr>
        <w:tc>
          <w:tcPr>
            <w:tcW w:type="dxa" w:w="3216"/>
          </w:tcPr>
          <w:p>
            <w:r>
              <w:t>Deep vernacular</w:t>
            </w:r>
          </w:p>
        </w:tc>
        <w:tc>
          <w:tcPr>
            <w:tcW w:type="dxa" w:w="3216"/>
          </w:tcPr>
          <w:p>
            <w:r>
              <w:t>Beyond UI: vernacular notices, voice-to-text in Indian languages, machine + human translation of documents</w:t>
            </w:r>
          </w:p>
        </w:tc>
        <w:tc>
          <w:tcPr>
            <w:tcW w:type="dxa" w:w="3216"/>
          </w:tcPr>
          <w:p>
            <w:r>
              <w:t>Vol I §5.12 / §6</w:t>
            </w:r>
          </w:p>
        </w:tc>
      </w:tr>
      <w:tr>
        <w:tc>
          <w:tcPr>
            <w:tcW w:type="dxa" w:w="3216"/>
          </w:tcPr>
          <w:p>
            <w:r>
              <w:t>Low-bandwidth mode</w:t>
            </w:r>
          </w:p>
        </w:tc>
        <w:tc>
          <w:tcPr>
            <w:tcW w:type="dxa" w:w="3216"/>
          </w:tcPr>
          <w:p>
            <w:r>
              <w:t>Audio-only hearing fallback, progressive/offline filing, SMS/WhatsApp-driven status for feature phones</w:t>
            </w:r>
          </w:p>
        </w:tc>
        <w:tc>
          <w:tcPr>
            <w:tcW w:type="dxa" w:w="3216"/>
          </w:tcPr>
          <w:p>
            <w:r>
              <w:t>Vol I §5.10 / §5.20</w:t>
            </w:r>
          </w:p>
        </w:tc>
      </w:tr>
      <w:tr>
        <w:tc>
          <w:tcPr>
            <w:tcW w:type="dxa" w:w="3216"/>
          </w:tcPr>
          <w:p>
            <w:r>
              <w:t>Plain-language UX</w:t>
            </w:r>
          </w:p>
        </w:tc>
        <w:tc>
          <w:tcPr>
            <w:tcW w:type="dxa" w:w="3216"/>
          </w:tcPr>
          <w:p>
            <w:r>
              <w:t>Jargon-free, guided journeys; readability standards for notices and orders</w:t>
            </w:r>
          </w:p>
        </w:tc>
        <w:tc>
          <w:tcPr>
            <w:tcW w:type="dxa" w:w="3216"/>
          </w:tcPr>
          <w:p>
            <w:r>
              <w:t>Vol I §5A / §5.13</w:t>
            </w:r>
          </w:p>
        </w:tc>
      </w:tr>
    </w:tbl>
    <w:p>
      <w:r>
        <w:br w:type="page"/>
      </w:r>
    </w:p>
    <w:p>
      <w:pPr>
        <w:pStyle w:val="Heading1"/>
      </w:pPr>
      <w:r>
        <w:t>3  AI Transparency, Fairness &amp; Due Process</w:t>
      </w:r>
    </w:p>
    <w:p>
      <w:r>
        <w:t>Gap: ODR best practice (ICODR ethics; algorithmic-justice literature) requires AI to be explainable, challengeable and auditable, and proceedings to preserve due process and equality of arms. The architecture has advisory-AI guardrails and AI governance, but should add explicit explainability, contestability and fairness-monitoring controls, plus a due-process layer.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Recommendation</w:t>
            </w:r>
          </w:p>
        </w:tc>
        <w:tc>
          <w:tcPr>
            <w:tcW w:type="dxa" w:w="3216"/>
          </w:tcPr>
          <w:p>
            <w:r>
              <w:rPr>
                <w:b/>
              </w:rPr>
              <w:t>Detail</w:t>
            </w:r>
          </w:p>
        </w:tc>
        <w:tc>
          <w:tcPr>
            <w:tcW w:type="dxa" w:w="3216"/>
          </w:tcPr>
          <w:p>
            <w:r>
              <w:rPr>
                <w:b/>
              </w:rPr>
              <w:t>Where</w:t>
            </w:r>
          </w:p>
        </w:tc>
      </w:tr>
      <w:tr>
        <w:tc>
          <w:tcPr>
            <w:tcW w:type="dxa" w:w="3216"/>
          </w:tcPr>
          <w:p>
            <w:r>
              <w:t>Explainability &amp; contestability</w:t>
            </w:r>
          </w:p>
        </w:tc>
        <w:tc>
          <w:tcPr>
            <w:tcW w:type="dxa" w:w="3216"/>
          </w:tcPr>
          <w:p>
            <w:r>
              <w:t>Every AI suggestion carries a plain-language rationale and sources; parties/neutrals can challenge and request review</w:t>
            </w:r>
          </w:p>
        </w:tc>
        <w:tc>
          <w:tcPr>
            <w:tcW w:type="dxa" w:w="3216"/>
          </w:tcPr>
          <w:p>
            <w:r>
              <w:t>Vol I §6 / Vol II §16</w:t>
            </w:r>
          </w:p>
        </w:tc>
      </w:tr>
      <w:tr>
        <w:tc>
          <w:tcPr>
            <w:tcW w:type="dxa" w:w="3216"/>
          </w:tcPr>
          <w:p>
            <w:r>
              <w:t>Algorithmic-fairness assessment</w:t>
            </w:r>
          </w:p>
        </w:tc>
        <w:tc>
          <w:tcPr>
            <w:tcW w:type="dxa" w:w="3216"/>
          </w:tcPr>
          <w:p>
            <w:r>
              <w:t>Periodic bias/fairness testing (DPDP-SDF aligned); documented model cards &amp; evaluation sets</w:t>
            </w:r>
          </w:p>
        </w:tc>
        <w:tc>
          <w:tcPr>
            <w:tcW w:type="dxa" w:w="3216"/>
          </w:tcPr>
          <w:p>
            <w:r>
              <w:t>Vol II §16 / §13</w:t>
            </w:r>
          </w:p>
        </w:tc>
      </w:tr>
      <w:tr>
        <w:tc>
          <w:tcPr>
            <w:tcW w:type="dxa" w:w="3216"/>
          </w:tcPr>
          <w:p>
            <w:r>
              <w:t>Due-process checklist</w:t>
            </w:r>
          </w:p>
        </w:tc>
        <w:tc>
          <w:tcPr>
            <w:tcW w:type="dxa" w:w="3216"/>
          </w:tcPr>
          <w:p>
            <w:r>
              <w:t>Equality of arms, right to be heard, notice adequacy and reasoned-outcome checks built into each workflow</w:t>
            </w:r>
          </w:p>
        </w:tc>
        <w:tc>
          <w:tcPr>
            <w:tcW w:type="dxa" w:w="3216"/>
          </w:tcPr>
          <w:p>
            <w:r>
              <w:t>Vol I §5.6 / §5.7</w:t>
            </w:r>
          </w:p>
        </w:tc>
      </w:tr>
      <w:tr>
        <w:tc>
          <w:tcPr>
            <w:tcW w:type="dxa" w:w="3216"/>
          </w:tcPr>
          <w:p>
            <w:r>
              <w:t>Internal appeal/review</w:t>
            </w:r>
          </w:p>
        </w:tc>
        <w:tc>
          <w:tcPr>
            <w:tcW w:type="dxa" w:w="3216"/>
          </w:tcPr>
          <w:p>
            <w:r>
              <w:t>A defined internal review path for ODR outcomes alongside judicial review; logged and time-bound</w:t>
            </w:r>
          </w:p>
        </w:tc>
        <w:tc>
          <w:tcPr>
            <w:tcW w:type="dxa" w:w="3216"/>
          </w:tcPr>
          <w:p>
            <w:r>
              <w:t>Vol I §5.6 / §5.18</w:t>
            </w:r>
          </w:p>
        </w:tc>
      </w:tr>
      <w:tr>
        <w:tc>
          <w:tcPr>
            <w:tcW w:type="dxa" w:w="3216"/>
          </w:tcPr>
          <w:p>
            <w:r>
              <w:t>AI-on-the-loop, not in-the-loop</w:t>
            </w:r>
          </w:p>
        </w:tc>
        <w:tc>
          <w:tcPr>
            <w:tcW w:type="dxa" w:w="3216"/>
          </w:tcPr>
          <w:p>
            <w:r>
              <w:t>AI flags possible bias/imbalance to the neutral; never decides — reinforce in product and policy</w:t>
            </w:r>
          </w:p>
        </w:tc>
        <w:tc>
          <w:tcPr>
            <w:tcW w:type="dxa" w:w="3216"/>
          </w:tcPr>
          <w:p>
            <w:r>
              <w:t>Vol I §6</w:t>
            </w:r>
          </w:p>
        </w:tc>
      </w:tr>
      <w:tr>
        <w:tc>
          <w:tcPr>
            <w:tcW w:type="dxa" w:w="3216"/>
          </w:tcPr>
          <w:p>
            <w:r>
              <w:t>Model-risk governance dashboard</w:t>
            </w:r>
          </w:p>
        </w:tc>
        <w:tc>
          <w:tcPr>
            <w:tcW w:type="dxa" w:w="3216"/>
          </w:tcPr>
          <w:p>
            <w:r>
              <w:t>Live fairness/quality/drift metrics for compliance oversight</w:t>
            </w:r>
          </w:p>
        </w:tc>
        <w:tc>
          <w:tcPr>
            <w:tcW w:type="dxa" w:w="3216"/>
          </w:tcPr>
          <w:p>
            <w:r>
              <w:t>Vol I §5.19 / Vol II §16</w:t>
            </w:r>
          </w:p>
        </w:tc>
      </w:tr>
    </w:tbl>
    <w:p>
      <w:r>
        <w:br w:type="page"/>
      </w:r>
    </w:p>
    <w:p>
      <w:pPr>
        <w:pStyle w:val="Heading1"/>
      </w:pPr>
      <w:r>
        <w:t>4  Enforceability, Trust Services &amp; Evidence Integrity</w:t>
      </w:r>
    </w:p>
    <w:p>
      <w:r>
        <w:t>Gap: ODR awards/settlements can fall into an enforceability grey area; courts probe the authenticity of digitally-issued awards, sufficiency of e-signatures and admissibility of electronic records. The architecture hashes evidence and seals signatures but can strengthen the legal-trust layer.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Recommendation</w:t>
            </w:r>
          </w:p>
        </w:tc>
        <w:tc>
          <w:tcPr>
            <w:tcW w:type="dxa" w:w="3216"/>
          </w:tcPr>
          <w:p>
            <w:r>
              <w:rPr>
                <w:b/>
              </w:rPr>
              <w:t>Detail</w:t>
            </w:r>
          </w:p>
        </w:tc>
        <w:tc>
          <w:tcPr>
            <w:tcW w:type="dxa" w:w="3216"/>
          </w:tcPr>
          <w:p>
            <w:r>
              <w:rPr>
                <w:b/>
              </w:rPr>
              <w:t>Where</w:t>
            </w:r>
          </w:p>
        </w:tc>
      </w:tr>
      <w:tr>
        <w:tc>
          <w:tcPr>
            <w:tcW w:type="dxa" w:w="3216"/>
          </w:tcPr>
          <w:p>
            <w:r>
              <w:t>Qualified timestamping</w:t>
            </w:r>
          </w:p>
        </w:tc>
        <w:tc>
          <w:tcPr>
            <w:tcW w:type="dxa" w:w="3216"/>
          </w:tcPr>
          <w:p>
            <w:r>
              <w:t>Independent qualified electronic timestamps (eIDAS-style) on awards, settlements and admitted evidence for a legal presumption of integrity/time</w:t>
            </w:r>
          </w:p>
        </w:tc>
        <w:tc>
          <w:tcPr>
            <w:tcW w:type="dxa" w:w="3216"/>
          </w:tcPr>
          <w:p>
            <w:r>
              <w:t>Vol I §5.11 / §5.13 / §5.15</w:t>
            </w:r>
          </w:p>
        </w:tc>
      </w:tr>
      <w:tr>
        <w:tc>
          <w:tcPr>
            <w:tcW w:type="dxa" w:w="3216"/>
          </w:tcPr>
          <w:p>
            <w:r>
              <w:t>Tamper-evident ledger / anchoring</w:t>
            </w:r>
          </w:p>
        </w:tc>
        <w:tc>
          <w:tcPr>
            <w:tcW w:type="dxa" w:w="3216"/>
          </w:tcPr>
          <w:p>
            <w:r>
              <w:t>Hash-chained audit anchored to an external trust anchor (or permissioned ledger) for awards &amp; custody — verifiable years later</w:t>
            </w:r>
          </w:p>
        </w:tc>
        <w:tc>
          <w:tcPr>
            <w:tcW w:type="dxa" w:w="3216"/>
          </w:tcPr>
          <w:p>
            <w:r>
              <w:t>Vol I §5.18 / §5.11</w:t>
            </w:r>
          </w:p>
        </w:tc>
      </w:tr>
      <w:tr>
        <w:tc>
          <w:tcPr>
            <w:tcW w:type="dxa" w:w="3216"/>
          </w:tcPr>
          <w:p>
            <w:r>
              <w:t>Enforcement pack</w:t>
            </w:r>
          </w:p>
        </w:tc>
        <w:tc>
          <w:tcPr>
            <w:tcW w:type="dxa" w:w="3216"/>
          </w:tcPr>
          <w:p>
            <w:r>
              <w:t>Auto-assemble a court-ready enforcement bundle (award, ToR, service proofs, signatures, custody) for Section-36 execution</w:t>
            </w:r>
          </w:p>
        </w:tc>
        <w:tc>
          <w:tcPr>
            <w:tcW w:type="dxa" w:w="3216"/>
          </w:tcPr>
          <w:p>
            <w:r>
              <w:t>Vol I §5.15</w:t>
            </w:r>
          </w:p>
        </w:tc>
      </w:tr>
      <w:tr>
        <w:tc>
          <w:tcPr>
            <w:tcW w:type="dxa" w:w="3216"/>
          </w:tcPr>
          <w:p>
            <w:r>
              <w:t>New York / Singapore Convention readiness</w:t>
            </w:r>
          </w:p>
        </w:tc>
        <w:tc>
          <w:tcPr>
            <w:tcW w:type="dxa" w:w="3216"/>
          </w:tcPr>
          <w:p>
            <w:r>
              <w:t>Cross-border packaging and provenance for international enforcement of awards and mediated settlements</w:t>
            </w:r>
          </w:p>
        </w:tc>
        <w:tc>
          <w:tcPr>
            <w:tcW w:type="dxa" w:w="3216"/>
          </w:tcPr>
          <w:p>
            <w:r>
              <w:t>Vol I §5.14 / §5.15 / Vol II §18</w:t>
            </w:r>
          </w:p>
        </w:tc>
      </w:tr>
      <w:tr>
        <w:tc>
          <w:tcPr>
            <w:tcW w:type="dxa" w:w="3216"/>
          </w:tcPr>
          <w:p>
            <w:r>
              <w:t>Court e-record interoperability</w:t>
            </w:r>
          </w:p>
        </w:tc>
        <w:tc>
          <w:tcPr>
            <w:tcW w:type="dxa" w:w="3216"/>
          </w:tcPr>
          <w:p>
            <w:r>
              <w:t>Export in e-courts/NJDG-compatible formats to ease judicial recognition</w:t>
            </w:r>
          </w:p>
        </w:tc>
        <w:tc>
          <w:tcPr>
            <w:tcW w:type="dxa" w:w="3216"/>
          </w:tcPr>
          <w:p>
            <w:r>
              <w:t>Vol I §5.24</w:t>
            </w:r>
          </w:p>
        </w:tc>
      </w:tr>
    </w:tbl>
    <w:p>
      <w:r>
        <w:br w:type="page"/>
      </w:r>
    </w:p>
    <w:p>
      <w:pPr>
        <w:pStyle w:val="Heading1"/>
      </w:pPr>
      <w:r>
        <w:t>5  Identity Assurance, Fraud &amp; Deepfake Defence</w:t>
      </w:r>
    </w:p>
    <w:p>
      <w:r>
        <w:t>Gap: remote hearings and remote e-signing are exposed to impersonation and synthetic-media (deepfake) risk; requiring all communications to occur on-platform is a recognised fairness/anti-fraud control.</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Recommendation</w:t>
            </w:r>
          </w:p>
        </w:tc>
        <w:tc>
          <w:tcPr>
            <w:tcW w:type="dxa" w:w="3216"/>
          </w:tcPr>
          <w:p>
            <w:r>
              <w:rPr>
                <w:b/>
              </w:rPr>
              <w:t>Detail</w:t>
            </w:r>
          </w:p>
        </w:tc>
        <w:tc>
          <w:tcPr>
            <w:tcW w:type="dxa" w:w="3216"/>
          </w:tcPr>
          <w:p>
            <w:r>
              <w:rPr>
                <w:b/>
              </w:rPr>
              <w:t>Where</w:t>
            </w:r>
          </w:p>
        </w:tc>
      </w:tr>
      <w:tr>
        <w:tc>
          <w:tcPr>
            <w:tcW w:type="dxa" w:w="3216"/>
          </w:tcPr>
          <w:p>
            <w:r>
              <w:t>Liveness &amp; re-verification at hearings</w:t>
            </w:r>
          </w:p>
        </w:tc>
        <w:tc>
          <w:tcPr>
            <w:tcW w:type="dxa" w:w="3216"/>
          </w:tcPr>
          <w:p>
            <w:r>
              <w:t>Liveness/face-match at join and for signing; periodic re-auth in long hearings</w:t>
            </w:r>
          </w:p>
        </w:tc>
        <w:tc>
          <w:tcPr>
            <w:tcW w:type="dxa" w:w="3216"/>
          </w:tcPr>
          <w:p>
            <w:r>
              <w:t>Vol I §5.10 / §5.1</w:t>
            </w:r>
          </w:p>
        </w:tc>
      </w:tr>
      <w:tr>
        <w:tc>
          <w:tcPr>
            <w:tcW w:type="dxa" w:w="3216"/>
          </w:tcPr>
          <w:p>
            <w:r>
              <w:t>Deepfake/synthetic-media detection</w:t>
            </w:r>
          </w:p>
        </w:tc>
        <w:tc>
          <w:tcPr>
            <w:tcW w:type="dxa" w:w="3216"/>
          </w:tcPr>
          <w:p>
            <w:r>
              <w:t>Detection on submitted audio/video evidence and live streams; flag for neutral review</w:t>
            </w:r>
          </w:p>
        </w:tc>
        <w:tc>
          <w:tcPr>
            <w:tcW w:type="dxa" w:w="3216"/>
          </w:tcPr>
          <w:p>
            <w:r>
              <w:t>Vol I §5.11 / §5.10</w:t>
            </w:r>
          </w:p>
        </w:tc>
      </w:tr>
      <w:tr>
        <w:tc>
          <w:tcPr>
            <w:tcW w:type="dxa" w:w="3216"/>
          </w:tcPr>
          <w:p>
            <w:r>
              <w:t>On-platform communications rule</w:t>
            </w:r>
          </w:p>
        </w:tc>
        <w:tc>
          <w:tcPr>
            <w:tcW w:type="dxa" w:w="3216"/>
          </w:tcPr>
          <w:p>
            <w:r>
              <w:t>Enforce that case communications occur on-platform for fairness, privacy and fraud protection</w:t>
            </w:r>
          </w:p>
        </w:tc>
        <w:tc>
          <w:tcPr>
            <w:tcW w:type="dxa" w:w="3216"/>
          </w:tcPr>
          <w:p>
            <w:r>
              <w:t>Vol I §5.12 / Vol II §8</w:t>
            </w:r>
          </w:p>
        </w:tc>
      </w:tr>
      <w:tr>
        <w:tc>
          <w:tcPr>
            <w:tcW w:type="dxa" w:w="3216"/>
          </w:tcPr>
          <w:p>
            <w:r>
              <w:t>Document-tampering / forgery checks</w:t>
            </w:r>
          </w:p>
        </w:tc>
        <w:tc>
          <w:tcPr>
            <w:tcW w:type="dxa" w:w="3216"/>
          </w:tcPr>
          <w:p>
            <w:r>
              <w:t>Doc-AI tamper detection on uploaded contracts and evidence</w:t>
            </w:r>
          </w:p>
        </w:tc>
        <w:tc>
          <w:tcPr>
            <w:tcW w:type="dxa" w:w="3216"/>
          </w:tcPr>
          <w:p>
            <w:r>
              <w:t>Vol I §5.3 / §5.11</w:t>
            </w:r>
          </w:p>
        </w:tc>
      </w:tr>
    </w:tbl>
    <w:p>
      <w:r>
        <w:br w:type="page"/>
      </w:r>
    </w:p>
    <w:p>
      <w:pPr>
        <w:pStyle w:val="Heading1"/>
      </w:pPr>
      <w:r>
        <w:t>6  Ecosystem, Accreditation &amp; Interoperability</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Recommendation</w:t>
            </w:r>
          </w:p>
        </w:tc>
        <w:tc>
          <w:tcPr>
            <w:tcW w:type="dxa" w:w="3216"/>
          </w:tcPr>
          <w:p>
            <w:r>
              <w:rPr>
                <w:b/>
              </w:rPr>
              <w:t>Detail</w:t>
            </w:r>
          </w:p>
        </w:tc>
        <w:tc>
          <w:tcPr>
            <w:tcW w:type="dxa" w:w="3216"/>
          </w:tcPr>
          <w:p>
            <w:r>
              <w:rPr>
                <w:b/>
              </w:rPr>
              <w:t>Priority</w:t>
            </w:r>
          </w:p>
        </w:tc>
      </w:tr>
      <w:tr>
        <w:tc>
          <w:tcPr>
            <w:tcW w:type="dxa" w:w="3216"/>
          </w:tcPr>
          <w:p>
            <w:r>
              <w:t>ACI accreditation readiness</w:t>
            </w:r>
          </w:p>
        </w:tc>
        <w:tc>
          <w:tcPr>
            <w:tcW w:type="dxa" w:w="3216"/>
          </w:tcPr>
          <w:p>
            <w:r>
              <w:t>Map institution &amp; neutral data to Arbitration Council of India grading/accreditation; export packs</w:t>
            </w:r>
          </w:p>
        </w:tc>
        <w:tc>
          <w:tcPr>
            <w:tcW w:type="dxa" w:w="3216"/>
          </w:tcPr>
          <w:p>
            <w:r>
              <w:t>P2</w:t>
            </w:r>
          </w:p>
        </w:tc>
      </w:tr>
      <w:tr>
        <w:tc>
          <w:tcPr>
            <w:tcW w:type="dxa" w:w="3216"/>
          </w:tcPr>
          <w:p>
            <w:r>
              <w:t>Court-annexed &amp; Lok Adalat integration</w:t>
            </w:r>
          </w:p>
        </w:tc>
        <w:tc>
          <w:tcPr>
            <w:tcW w:type="dxa" w:w="3216"/>
          </w:tcPr>
          <w:p>
            <w:r>
              <w:t>Referral in/out with courts (Delhi/Gujarat/Maharashtra-style Lok Adalat ODR) and e-courts</w:t>
            </w:r>
          </w:p>
        </w:tc>
        <w:tc>
          <w:tcPr>
            <w:tcW w:type="dxa" w:w="3216"/>
          </w:tcPr>
          <w:p>
            <w:r>
              <w:t>P2</w:t>
            </w:r>
          </w:p>
        </w:tc>
      </w:tr>
      <w:tr>
        <w:tc>
          <w:tcPr>
            <w:tcW w:type="dxa" w:w="3216"/>
          </w:tcPr>
          <w:p>
            <w:r>
              <w:t>Standard ODR clause &amp; contract embedding</w:t>
            </w:r>
          </w:p>
        </w:tc>
        <w:tc>
          <w:tcPr>
            <w:tcW w:type="dxa" w:w="3216"/>
          </w:tcPr>
          <w:p>
            <w:r>
              <w:t>Provide model ODR clauses and embeddable widgets so disputes route to the platform by contract</w:t>
            </w:r>
          </w:p>
        </w:tc>
        <w:tc>
          <w:tcPr>
            <w:tcW w:type="dxa" w:w="3216"/>
          </w:tcPr>
          <w:p>
            <w:r>
              <w:t>P2</w:t>
            </w:r>
          </w:p>
        </w:tc>
      </w:tr>
      <w:tr>
        <w:tc>
          <w:tcPr>
            <w:tcW w:type="dxa" w:w="3216"/>
          </w:tcPr>
          <w:p>
            <w:r>
              <w:t>Interoperable case identifiers</w:t>
            </w:r>
          </w:p>
        </w:tc>
        <w:tc>
          <w:tcPr>
            <w:tcW w:type="dxa" w:w="3216"/>
          </w:tcPr>
          <w:p>
            <w:r>
              <w:t>Adopt portable case/identity identifiers for cross-platform and court interoperability</w:t>
            </w:r>
          </w:p>
        </w:tc>
        <w:tc>
          <w:tcPr>
            <w:tcW w:type="dxa" w:w="3216"/>
          </w:tcPr>
          <w:p>
            <w:r>
              <w:t>P3</w:t>
            </w:r>
          </w:p>
        </w:tc>
      </w:tr>
      <w:tr>
        <w:tc>
          <w:tcPr>
            <w:tcW w:type="dxa" w:w="3216"/>
          </w:tcPr>
          <w:p>
            <w:r>
              <w:t>Open ODR data standard</w:t>
            </w:r>
          </w:p>
        </w:tc>
        <w:tc>
          <w:tcPr>
            <w:tcW w:type="dxa" w:w="3216"/>
          </w:tcPr>
          <w:p>
            <w:r>
              <w:t>Align case/event schema with emerging ODR data-exchange standards for portability</w:t>
            </w:r>
          </w:p>
        </w:tc>
        <w:tc>
          <w:tcPr>
            <w:tcW w:type="dxa" w:w="3216"/>
          </w:tcPr>
          <w:p>
            <w:r>
              <w:t>P3</w:t>
            </w:r>
          </w:p>
        </w:tc>
      </w:tr>
    </w:tbl>
    <w:p>
      <w:r>
        <w:br w:type="page"/>
      </w:r>
    </w:p>
    <w:p>
      <w:pPr>
        <w:pStyle w:val="Heading1"/>
      </w:pPr>
      <w:r>
        <w:t>7  Trust, Operations &amp; Assurance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Recommendation</w:t>
            </w:r>
          </w:p>
        </w:tc>
        <w:tc>
          <w:tcPr>
            <w:tcW w:type="dxa" w:w="3216"/>
          </w:tcPr>
          <w:p>
            <w:r>
              <w:rPr>
                <w:b/>
              </w:rPr>
              <w:t>Detail</w:t>
            </w:r>
          </w:p>
        </w:tc>
        <w:tc>
          <w:tcPr>
            <w:tcW w:type="dxa" w:w="3216"/>
          </w:tcPr>
          <w:p>
            <w:r>
              <w:rPr>
                <w:b/>
              </w:rPr>
              <w:t>Priority</w:t>
            </w:r>
          </w:p>
        </w:tc>
      </w:tr>
      <w:tr>
        <w:tc>
          <w:tcPr>
            <w:tcW w:type="dxa" w:w="3216"/>
          </w:tcPr>
          <w:p>
            <w:r>
              <w:t>ISO 27001 / SOC 2 certification path</w:t>
            </w:r>
          </w:p>
        </w:tc>
        <w:tc>
          <w:tcPr>
            <w:tcW w:type="dxa" w:w="3216"/>
          </w:tcPr>
          <w:p>
            <w:r>
              <w:t>Formal certification (peers cite ISO 27001) as a procurement and trust signal</w:t>
            </w:r>
          </w:p>
        </w:tc>
        <w:tc>
          <w:tcPr>
            <w:tcW w:type="dxa" w:w="3216"/>
          </w:tcPr>
          <w:p>
            <w:r>
              <w:t>P1</w:t>
            </w:r>
          </w:p>
        </w:tc>
      </w:tr>
      <w:tr>
        <w:tc>
          <w:tcPr>
            <w:tcW w:type="dxa" w:w="3216"/>
          </w:tcPr>
          <w:p>
            <w:r>
              <w:t>Published transparency report</w:t>
            </w:r>
          </w:p>
        </w:tc>
        <w:tc>
          <w:tcPr>
            <w:tcW w:type="dxa" w:w="3216"/>
          </w:tcPr>
          <w:p>
            <w:r>
              <w:t>Periodic, anonymised stats: volumes, resolution time, settlement rate, neutral diversity, fairness metrics</w:t>
            </w:r>
          </w:p>
        </w:tc>
        <w:tc>
          <w:tcPr>
            <w:tcW w:type="dxa" w:w="3216"/>
          </w:tcPr>
          <w:p>
            <w:r>
              <w:t>P2</w:t>
            </w:r>
          </w:p>
        </w:tc>
      </w:tr>
      <w:tr>
        <w:tc>
          <w:tcPr>
            <w:tcW w:type="dxa" w:w="3216"/>
          </w:tcPr>
          <w:p>
            <w:r>
              <w:t>Independent ODR ethics &amp; oversight</w:t>
            </w:r>
          </w:p>
        </w:tc>
        <w:tc>
          <w:tcPr>
            <w:tcW w:type="dxa" w:w="3216"/>
          </w:tcPr>
          <w:p>
            <w:r>
              <w:t>An ethics/grievance-oversight function and published process integrity standards</w:t>
            </w:r>
          </w:p>
        </w:tc>
        <w:tc>
          <w:tcPr>
            <w:tcW w:type="dxa" w:w="3216"/>
          </w:tcPr>
          <w:p>
            <w:r>
              <w:t>P2</w:t>
            </w:r>
          </w:p>
        </w:tc>
      </w:tr>
      <w:tr>
        <w:tc>
          <w:tcPr>
            <w:tcW w:type="dxa" w:w="3216"/>
          </w:tcPr>
          <w:p>
            <w:r>
              <w:t>Outcome analytics for parties</w:t>
            </w:r>
          </w:p>
        </w:tc>
        <w:tc>
          <w:tcPr>
            <w:tcW w:type="dxa" w:w="3216"/>
          </w:tcPr>
          <w:p>
            <w:r>
              <w:t>Resolution-time and likely-cost transparency upfront to set expectations and build trust</w:t>
            </w:r>
          </w:p>
        </w:tc>
        <w:tc>
          <w:tcPr>
            <w:tcW w:type="dxa" w:w="3216"/>
          </w:tcPr>
          <w:p>
            <w:r>
              <w:t>P2</w:t>
            </w:r>
          </w:p>
        </w:tc>
      </w:tr>
      <w:tr>
        <w:tc>
          <w:tcPr>
            <w:tcW w:type="dxa" w:w="3216"/>
          </w:tcPr>
          <w:p>
            <w:r>
              <w:t>Sustainability &amp; cost metrics</w:t>
            </w:r>
          </w:p>
        </w:tc>
        <w:tc>
          <w:tcPr>
            <w:tcW w:type="dxa" w:w="3216"/>
          </w:tcPr>
          <w:p>
            <w:r>
              <w:t>Quantify the up-to-80% cost saving and sub-30-day resolution as managed KPIs</w:t>
            </w:r>
          </w:p>
        </w:tc>
        <w:tc>
          <w:tcPr>
            <w:tcW w:type="dxa" w:w="3216"/>
          </w:tcPr>
          <w:p>
            <w:r>
              <w:t>P3</w:t>
            </w:r>
          </w:p>
        </w:tc>
      </w:tr>
    </w:tbl>
    <w:p>
      <w:r>
        <w:br w:type="page"/>
      </w:r>
    </w:p>
    <w:p>
      <w:pPr>
        <w:pStyle w:val="Heading1"/>
      </w:pPr>
      <w:r>
        <w:t>8  Prioritised Implementation Slice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Wave</w:t>
            </w:r>
          </w:p>
        </w:tc>
        <w:tc>
          <w:tcPr>
            <w:tcW w:type="dxa" w:w="3216"/>
          </w:tcPr>
          <w:p>
            <w:r>
              <w:rPr>
                <w:b/>
              </w:rPr>
              <w:t>Focus</w:t>
            </w:r>
          </w:p>
        </w:tc>
        <w:tc>
          <w:tcPr>
            <w:tcW w:type="dxa" w:w="3216"/>
          </w:tcPr>
          <w:p>
            <w:r>
              <w:rPr>
                <w:b/>
              </w:rPr>
              <w:t>Items</w:t>
            </w:r>
          </w:p>
        </w:tc>
      </w:tr>
      <w:tr>
        <w:tc>
          <w:tcPr>
            <w:tcW w:type="dxa" w:w="3216"/>
          </w:tcPr>
          <w:p>
            <w:r>
              <w:t>Wave 1 (compliance-critical)</w:t>
            </w:r>
          </w:p>
        </w:tc>
        <w:tc>
          <w:tcPr>
            <w:tcW w:type="dxa" w:w="3216"/>
          </w:tcPr>
          <w:p>
            <w:r>
              <w:t>Don't-ship-without</w:t>
            </w:r>
          </w:p>
        </w:tc>
        <w:tc>
          <w:tcPr>
            <w:tcW w:type="dxa" w:w="3216"/>
          </w:tcPr>
          <w:p>
            <w:r>
              <w:t>DPDP Rules 2025 (#1), Arbitration Bill 2024 (#2), SEBI track (#3), AI explainability/due-process (#4, #9), Accessibility (#5)</w:t>
            </w:r>
          </w:p>
        </w:tc>
      </w:tr>
      <w:tr>
        <w:tc>
          <w:tcPr>
            <w:tcW w:type="dxa" w:w="3216"/>
          </w:tcPr>
          <w:p>
            <w:r>
              <w:t>Wave 2 (differentiators)</w:t>
            </w:r>
          </w:p>
        </w:tc>
        <w:tc>
          <w:tcPr>
            <w:tcW w:type="dxa" w:w="3216"/>
          </w:tcPr>
          <w:p>
            <w:r>
              <w:t>Win deals &amp; enforceability</w:t>
            </w:r>
          </w:p>
        </w:tc>
        <w:tc>
          <w:tcPr>
            <w:tcW w:type="dxa" w:w="3216"/>
          </w:tcPr>
          <w:p>
            <w:r>
              <w:t>Qualified timestamping/ledger (#6), Enforcement/NY-Convention pack (#7), Court/Lok-Adalat integration (#8), Fraud/deepfake (#10), ISO/SOC certification</w:t>
            </w:r>
          </w:p>
        </w:tc>
      </w:tr>
      <w:tr>
        <w:tc>
          <w:tcPr>
            <w:tcW w:type="dxa" w:w="3216"/>
          </w:tcPr>
          <w:p>
            <w:r>
              <w:t>Wave 3 (forward-looking)</w:t>
            </w:r>
          </w:p>
        </w:tc>
        <w:tc>
          <w:tcPr>
            <w:tcW w:type="dxa" w:w="3216"/>
          </w:tcPr>
          <w:p>
            <w:r>
              <w:t>Lead the category</w:t>
            </w:r>
          </w:p>
        </w:tc>
        <w:tc>
          <w:tcPr>
            <w:tcW w:type="dxa" w:w="3216"/>
          </w:tcPr>
          <w:p>
            <w:r>
              <w:t>ACI accreditation (#11), fairness/model-risk observability (#12), open ODR data standards, transparency reporting</w:t>
            </w:r>
          </w:p>
        </w:tc>
      </w:tr>
    </w:tbl>
    <w:p>
      <w:pPr>
        <w:pStyle w:val="Heading1"/>
      </w:pPr>
      <w:r>
        <w:t>Research Sources</w:t>
      </w:r>
    </w:p>
    <w:p>
      <w:pPr>
        <w:pStyle w:val="ListBullet"/>
      </w:pPr>
      <w:r>
        <w:t>NITI Aayog — Designing the Future of Dispute Resolution: The ODR Policy Plan for India</w:t>
      </w:r>
    </w:p>
    <w:p>
      <w:pPr>
        <w:pStyle w:val="ListBullet"/>
      </w:pPr>
      <w:r>
        <w:t>SEBI — Master Circular for Online Resolution of Disputes in the Indian Securities Market (2023); SMART ODR Portal</w:t>
      </w:r>
    </w:p>
    <w:p>
      <w:pPr>
        <w:pStyle w:val="ListBullet"/>
      </w:pPr>
      <w:r>
        <w:t>Draft Arbitration &amp; Conciliation (Amendment) Bill 2024 — White &amp; Case / SCC Online analyses</w:t>
      </w:r>
    </w:p>
    <w:p>
      <w:pPr>
        <w:pStyle w:val="ListBullet"/>
      </w:pPr>
      <w:r>
        <w:t>DPDP Rules 2025 (notified Nov 2025) — EY, Seclore, SCC Online, Lexology summaries</w:t>
      </w:r>
    </w:p>
    <w:p>
      <w:pPr>
        <w:pStyle w:val="ListBullet"/>
      </w:pPr>
      <w:r>
        <w:t>APEC — Study on Best Practices in Using ODR (2023)</w:t>
      </w:r>
    </w:p>
    <w:p>
      <w:pPr>
        <w:pStyle w:val="ListBullet"/>
      </w:pPr>
      <w:r>
        <w:t>ICODR ethics / odr.com — Ethics in Online Dispute Resolution</w:t>
      </w:r>
    </w:p>
    <w:p>
      <w:pPr>
        <w:pStyle w:val="ListBullet"/>
      </w:pPr>
      <w:r>
        <w:t>ITA in Review — The Future of Justice: Enforcing Online Arbitration Awards (2025)</w:t>
      </w:r>
    </w:p>
    <w:p>
      <w:pPr>
        <w:pStyle w:val="ListBullet"/>
      </w:pPr>
      <w:r>
        <w:t>eIDAS 2.0 / qualified electronic timestamps &amp; ledgers — Yousign, eSignGlobal</w:t>
      </w:r>
    </w:p>
    <w:p>
      <w:pPr>
        <w:pStyle w:val="ListBullet"/>
      </w:pPr>
      <w:r>
        <w:t>Leading-platform benchmarking — Presolv360, SAMA, CADRE, Jupitice (OnlineLegalIndia, FastInfo)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B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2B4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2B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