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2B4A"/>
          <w:sz w:val="48"/>
        </w:rPr>
        <w:t>DRSP Platform — Capability Coverage Register</w:t>
      </w:r>
    </w:p>
    <w:p>
      <w:r>
        <w:rPr>
          <w:rFonts w:ascii="Arial" w:hAnsi="Arial"/>
          <w:color w:val="5A6B85"/>
          <w:sz w:val="24"/>
        </w:rPr>
        <w:t>Brief requirement → module/section coverage · June 2026</w:t>
      </w:r>
    </w:p>
    <w:p/>
    <w:p>
      <w:pPr>
        <w:pStyle w:val="Heading1"/>
      </w:pPr>
      <w:r>
        <w:t>Document Control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>
              <w:t>Document</w:t>
            </w:r>
          </w:p>
        </w:tc>
        <w:tc>
          <w:tcPr>
            <w:tcW w:type="dxa" w:w="4824"/>
          </w:tcPr>
          <w:p>
            <w:r>
              <w:t>DRSP Platform — Capability Coverage Register</w:t>
            </w:r>
          </w:p>
        </w:tc>
      </w:tr>
      <w:tr>
        <w:tc>
          <w:tcPr>
            <w:tcW w:type="dxa" w:w="4824"/>
          </w:tcPr>
          <w:p>
            <w:r>
              <w:t>Owner</w:t>
            </w:r>
          </w:p>
        </w:tc>
        <w:tc>
          <w:tcPr>
            <w:tcW w:type="dxa" w:w="4824"/>
          </w:tcPr>
          <w:p>
            <w:r>
              <w:t>LawDocs / Infrabyx</w:t>
            </w:r>
          </w:p>
        </w:tc>
      </w:tr>
      <w:tr>
        <w:tc>
          <w:tcPr>
            <w:tcW w:type="dxa" w:w="4824"/>
          </w:tcPr>
          <w:p>
            <w:r>
              <w:t>Version</w:t>
            </w:r>
          </w:p>
        </w:tc>
        <w:tc>
          <w:tcPr>
            <w:tcW w:type="dxa" w:w="4824"/>
          </w:tcPr>
          <w:p>
            <w:r>
              <w:t>2.0 — June 2026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Draft for review</w:t>
            </w:r>
          </w:p>
        </w:tc>
      </w:tr>
      <w:tr>
        <w:tc>
          <w:tcPr>
            <w:tcW w:type="dxa" w:w="4824"/>
          </w:tcPr>
          <w:p>
            <w:r>
              <w:t>Purpose</w:t>
            </w:r>
          </w:p>
        </w:tc>
        <w:tc>
          <w:tcPr>
            <w:tcW w:type="dxa" w:w="4824"/>
          </w:tcPr>
          <w:p>
            <w:r>
              <w:t>Traceability of brief requirements to architecture coverage</w:t>
            </w:r>
          </w:p>
        </w:tc>
      </w:tr>
      <w:tr>
        <w:tc>
          <w:tcPr>
            <w:tcW w:type="dxa" w:w="4824"/>
          </w:tcPr>
          <w:p>
            <w:r>
              <w:t>Confidentiality</w:t>
            </w:r>
          </w:p>
        </w:tc>
        <w:tc>
          <w:tcPr>
            <w:tcW w:type="dxa" w:w="4824"/>
          </w:tcPr>
          <w:p>
            <w:r>
              <w:t>Confidential</w:t>
            </w:r>
          </w:p>
        </w:tc>
      </w:tr>
    </w:tbl>
    <w:p>
      <w:pPr>
        <w:pStyle w:val="Heading1"/>
      </w:pPr>
      <w:r>
        <w:t>Coverage Matrix</w:t>
      </w:r>
    </w:p>
    <w:p>
      <w:r>
        <w:t>Maps each capability area from the brief to where it is specified in the architecture.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Requirement (from brief)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Covered by</w:t>
            </w:r>
          </w:p>
        </w:tc>
      </w:tr>
      <w:tr>
        <w:tc>
          <w:tcPr>
            <w:tcW w:type="dxa" w:w="4824"/>
          </w:tcPr>
          <w:p>
            <w:r>
              <w:t>Consensual methods (negotiation, mediation, conciliation, facilitation)</w:t>
            </w:r>
          </w:p>
        </w:tc>
        <w:tc>
          <w:tcPr>
            <w:tcW w:type="dxa" w:w="4824"/>
          </w:tcPr>
          <w:p>
            <w:r>
              <w:t>Vol I §5.7 ODR Engine; §5.14</w:t>
            </w:r>
          </w:p>
        </w:tc>
      </w:tr>
      <w:tr>
        <w:tc>
          <w:tcPr>
            <w:tcW w:type="dxa" w:w="4824"/>
          </w:tcPr>
          <w:p>
            <w:r>
              <w:t>Adjudicatory (arbitration: sole/tribunal/institutional/ad-hoc/emergency/fast-track)</w:t>
            </w:r>
          </w:p>
        </w:tc>
        <w:tc>
          <w:tcPr>
            <w:tcW w:type="dxa" w:w="4824"/>
          </w:tcPr>
          <w:p>
            <w:r>
              <w:t>Vol I §5.7; §5.15</w:t>
            </w:r>
          </w:p>
        </w:tc>
      </w:tr>
      <w:tr>
        <w:tc>
          <w:tcPr>
            <w:tcW w:type="dxa" w:w="4824"/>
          </w:tcPr>
          <w:p>
            <w:r>
              <w:t>Hybrid (Med-Arb/Arb-Med/Med-Arb-Med, neutral eval, expert determination)</w:t>
            </w:r>
          </w:p>
        </w:tc>
        <w:tc>
          <w:tcPr>
            <w:tcW w:type="dxa" w:w="4824"/>
          </w:tcPr>
          <w:p>
            <w:r>
              <w:t>Vol I §5.7; §5.6 conversions</w:t>
            </w:r>
          </w:p>
        </w:tc>
      </w:tr>
      <w:tr>
        <w:tc>
          <w:tcPr>
            <w:tcW w:type="dxa" w:w="4824"/>
          </w:tcPr>
          <w:p>
            <w:r>
              <w:t>Sector-specific (consumer, e-commerce, fintech, NBFC, banking, insurance, etc.)</w:t>
            </w:r>
          </w:p>
        </w:tc>
        <w:tc>
          <w:tcPr>
            <w:tcW w:type="dxa" w:w="4824"/>
          </w:tcPr>
          <w:p>
            <w:r>
              <w:t>Vol I §2.6, §5.3; App H sectors</w:t>
            </w:r>
          </w:p>
        </w:tc>
      </w:tr>
      <w:tr>
        <w:tc>
          <w:tcPr>
            <w:tcW w:type="dxa" w:w="4824"/>
          </w:tcPr>
          <w:p>
            <w:r>
              <w:t>Regulatory/grievance (internal, ombudsman, complaint mgmt)</w:t>
            </w:r>
          </w:p>
        </w:tc>
        <w:tc>
          <w:tcPr>
            <w:tcW w:type="dxa" w:w="4824"/>
          </w:tcPr>
          <w:p>
            <w:r>
              <w:t>Vol I §5.23</w:t>
            </w:r>
          </w:p>
        </w:tc>
      </w:tr>
      <w:tr>
        <w:tc>
          <w:tcPr>
            <w:tcW w:type="dxa" w:w="4824"/>
          </w:tcPr>
          <w:p>
            <w:r>
              <w:t>User types &amp; role management (all personas)</w:t>
            </w:r>
          </w:p>
        </w:tc>
        <w:tc>
          <w:tcPr>
            <w:tcW w:type="dxa" w:w="4824"/>
          </w:tcPr>
          <w:p>
            <w:r>
              <w:t>Vol I §2.6, §5.1; §6 dashboards; Vol II §8.2</w:t>
            </w:r>
          </w:p>
        </w:tc>
      </w:tr>
      <w:tr>
        <w:tc>
          <w:tcPr>
            <w:tcW w:type="dxa" w:w="4824"/>
          </w:tcPr>
          <w:p>
            <w:r>
              <w:t>Separate dashboards per user type</w:t>
            </w:r>
          </w:p>
        </w:tc>
        <w:tc>
          <w:tcPr>
            <w:tcW w:type="dxa" w:w="4824"/>
          </w:tcPr>
          <w:p>
            <w:r>
              <w:t>Vol I §6; Vol III App RM</w:t>
            </w:r>
          </w:p>
        </w:tc>
      </w:tr>
      <w:tr>
        <w:tc>
          <w:tcPr>
            <w:tcW w:type="dxa" w:w="4824"/>
          </w:tcPr>
          <w:p>
            <w:r>
              <w:t>User Management (registration, SSO, MFA, RBAC, KYC, Aadhaar/PAN)</w:t>
            </w:r>
          </w:p>
        </w:tc>
        <w:tc>
          <w:tcPr>
            <w:tcW w:type="dxa" w:w="4824"/>
          </w:tcPr>
          <w:p>
            <w:r>
              <w:t>Vol I §5.1</w:t>
            </w:r>
          </w:p>
        </w:tc>
      </w:tr>
      <w:tr>
        <w:tc>
          <w:tcPr>
            <w:tcW w:type="dxa" w:w="4824"/>
          </w:tcPr>
          <w:p>
            <w:r>
              <w:t>Organization Management (corporates/banks/NBFCs/insurers)</w:t>
            </w:r>
          </w:p>
        </w:tc>
        <w:tc>
          <w:tcPr>
            <w:tcW w:type="dxa" w:w="4824"/>
          </w:tcPr>
          <w:p>
            <w:r>
              <w:t>Vol I §5.2</w:t>
            </w:r>
          </w:p>
        </w:tc>
      </w:tr>
      <w:tr>
        <w:tc>
          <w:tcPr>
            <w:tcW w:type="dxa" w:w="4824"/>
          </w:tcPr>
          <w:p>
            <w:r>
              <w:t>Dispute Filing (smart forms, bulk, counter-claim, multi-party)</w:t>
            </w:r>
          </w:p>
        </w:tc>
        <w:tc>
          <w:tcPr>
            <w:tcW w:type="dxa" w:w="4824"/>
          </w:tcPr>
          <w:p>
            <w:r>
              <w:t>Vol I §5.3</w:t>
            </w:r>
          </w:p>
        </w:tc>
      </w:tr>
      <w:tr>
        <w:tc>
          <w:tcPr>
            <w:tcW w:type="dxa" w:w="4824"/>
          </w:tcPr>
          <w:p>
            <w:r>
              <w:t>Case Intake (scrutiny, deficiency, jurisdiction)</w:t>
            </w:r>
          </w:p>
        </w:tc>
        <w:tc>
          <w:tcPr>
            <w:tcW w:type="dxa" w:w="4824"/>
          </w:tcPr>
          <w:p>
            <w:r>
              <w:t>Vol I §5.4</w:t>
            </w:r>
          </w:p>
        </w:tc>
      </w:tr>
      <w:tr>
        <w:tc>
          <w:tcPr>
            <w:tcW w:type="dxa" w:w="4824"/>
          </w:tcPr>
          <w:p>
            <w:r>
              <w:t>Case Management System (dashboard, timeline, SLA)</w:t>
            </w:r>
          </w:p>
        </w:tc>
        <w:tc>
          <w:tcPr>
            <w:tcW w:type="dxa" w:w="4824"/>
          </w:tcPr>
          <w:p>
            <w:r>
              <w:t>Vol I §5.5</w:t>
            </w:r>
          </w:p>
        </w:tc>
      </w:tr>
      <w:tr>
        <w:tc>
          <w:tcPr>
            <w:tcW w:type="dxa" w:w="4824"/>
          </w:tcPr>
          <w:p>
            <w:r>
              <w:t>Workflow Engine (method workflows)</w:t>
            </w:r>
          </w:p>
        </w:tc>
        <w:tc>
          <w:tcPr>
            <w:tcW w:type="dxa" w:w="4824"/>
          </w:tcPr>
          <w:p>
            <w:r>
              <w:t>Vol I §5.6</w:t>
            </w:r>
          </w:p>
        </w:tc>
      </w:tr>
      <w:tr>
        <w:tc>
          <w:tcPr>
            <w:tcW w:type="dxa" w:w="4824"/>
          </w:tcPr>
          <w:p>
            <w:r>
              <w:t>ODR Engine (negotiation/mediation/arbitration/conciliation)</w:t>
            </w:r>
          </w:p>
        </w:tc>
        <w:tc>
          <w:tcPr>
            <w:tcW w:type="dxa" w:w="4824"/>
          </w:tcPr>
          <w:p>
            <w:r>
              <w:t>Vol I §5.7</w:t>
            </w:r>
          </w:p>
        </w:tc>
      </w:tr>
      <w:tr>
        <w:tc>
          <w:tcPr>
            <w:tcW w:type="dxa" w:w="4824"/>
          </w:tcPr>
          <w:p>
            <w:r>
              <w:t>Neutral Management (registry, conflict, appointment)</w:t>
            </w:r>
          </w:p>
        </w:tc>
        <w:tc>
          <w:tcPr>
            <w:tcW w:type="dxa" w:w="4824"/>
          </w:tcPr>
          <w:p>
            <w:r>
              <w:t>Vol I §5.8, §5.9</w:t>
            </w:r>
          </w:p>
        </w:tc>
      </w:tr>
      <w:tr>
        <w:tc>
          <w:tcPr>
            <w:tcW w:type="dxa" w:w="4824"/>
          </w:tcPr>
          <w:p>
            <w:r>
              <w:t>Hearing Management (virtual, recording, transcription)</w:t>
            </w:r>
          </w:p>
        </w:tc>
        <w:tc>
          <w:tcPr>
            <w:tcW w:type="dxa" w:w="4824"/>
          </w:tcPr>
          <w:p>
            <w:r>
              <w:t>Vol I §5.10</w:t>
            </w:r>
          </w:p>
        </w:tc>
      </w:tr>
      <w:tr>
        <w:tc>
          <w:tcPr>
            <w:tcW w:type="dxa" w:w="4824"/>
          </w:tcPr>
          <w:p>
            <w:r>
              <w:t>Evidence Management (versioning, hash, custody)</w:t>
            </w:r>
          </w:p>
        </w:tc>
        <w:tc>
          <w:tcPr>
            <w:tcW w:type="dxa" w:w="4824"/>
          </w:tcPr>
          <w:p>
            <w:r>
              <w:t>Vol I §5.11</w:t>
            </w:r>
          </w:p>
        </w:tc>
      </w:tr>
      <w:tr>
        <w:tc>
          <w:tcPr>
            <w:tcW w:type="dxa" w:w="4824"/>
          </w:tcPr>
          <w:p>
            <w:r>
              <w:t>E-Sign &amp; Digital Signature</w:t>
            </w:r>
          </w:p>
        </w:tc>
        <w:tc>
          <w:tcPr>
            <w:tcW w:type="dxa" w:w="4824"/>
          </w:tcPr>
          <w:p>
            <w:r>
              <w:t>Vol I §5.13, §5.25</w:t>
            </w:r>
          </w:p>
        </w:tc>
      </w:tr>
      <w:tr>
        <w:tc>
          <w:tcPr>
            <w:tcW w:type="dxa" w:w="4824"/>
          </w:tcPr>
          <w:p>
            <w:r>
              <w:t>eSign &amp; eStamp (stamp-duty, sign-and-stamp flow)</w:t>
            </w:r>
          </w:p>
        </w:tc>
        <w:tc>
          <w:tcPr>
            <w:tcW w:type="dxa" w:w="4824"/>
          </w:tcPr>
          <w:p>
            <w:r>
              <w:t>Vol I §5.25; Vol III App ES; F-22/F-23</w:t>
            </w:r>
          </w:p>
        </w:tc>
      </w:tr>
      <w:tr>
        <w:tc>
          <w:tcPr>
            <w:tcW w:type="dxa" w:w="4824"/>
          </w:tcPr>
          <w:p>
            <w:r>
              <w:t>Detailed forms by dispute type (financial/property/marital/commercial/employment)</w:t>
            </w:r>
          </w:p>
        </w:tc>
        <w:tc>
          <w:tcPr>
            <w:tcW w:type="dxa" w:w="4824"/>
          </w:tcPr>
          <w:p>
            <w:r>
              <w:t>Vol III App DT</w:t>
            </w:r>
          </w:p>
        </w:tc>
      </w:tr>
      <w:tr>
        <w:tc>
          <w:tcPr>
            <w:tcW w:type="dxa" w:w="4824"/>
          </w:tcPr>
          <w:p>
            <w:r>
              <w:t>Detailed forms by persona (individual/institution/advocate/respondent)</w:t>
            </w:r>
          </w:p>
        </w:tc>
        <w:tc>
          <w:tcPr>
            <w:tcW w:type="dxa" w:w="4824"/>
          </w:tcPr>
          <w:p>
            <w:r>
              <w:t>Vol III App DP</w:t>
            </w:r>
          </w:p>
        </w:tc>
      </w:tr>
      <w:tr>
        <w:tc>
          <w:tcPr>
            <w:tcW w:type="dxa" w:w="4824"/>
          </w:tcPr>
          <w:p>
            <w:r>
              <w:t>Smart-form engine &amp; smooth data-entry UX (dropdowns, autosave, validation)</w:t>
            </w:r>
          </w:p>
        </w:tc>
        <w:tc>
          <w:tcPr>
            <w:tcW w:type="dxa" w:w="4824"/>
          </w:tcPr>
          <w:p>
            <w:r>
              <w:t>Vol III App SF</w:t>
            </w:r>
          </w:p>
        </w:tc>
      </w:tr>
      <w:tr>
        <w:tc>
          <w:tcPr>
            <w:tcW w:type="dxa" w:w="4824"/>
          </w:tcPr>
          <w:p>
            <w:r>
              <w:t>Document Management System (upload, case-manager-gated sharing, permissions, custody)</w:t>
            </w:r>
          </w:p>
        </w:tc>
        <w:tc>
          <w:tcPr>
            <w:tcW w:type="dxa" w:w="4824"/>
          </w:tcPr>
          <w:p>
            <w:r>
              <w:t>Vol I §5.26; Vol III App DMS; Fig D4; F-24/F-25</w:t>
            </w:r>
          </w:p>
        </w:tc>
      </w:tr>
      <w:tr>
        <w:tc>
          <w:tcPr>
            <w:tcW w:type="dxa" w:w="4824"/>
          </w:tcPr>
          <w:p>
            <w:r>
              <w:t>Settlement Management</w:t>
            </w:r>
          </w:p>
        </w:tc>
        <w:tc>
          <w:tcPr>
            <w:tcW w:type="dxa" w:w="4824"/>
          </w:tcPr>
          <w:p>
            <w:r>
              <w:t>Vol I §5.14</w:t>
            </w:r>
          </w:p>
        </w:tc>
      </w:tr>
      <w:tr>
        <w:tc>
          <w:tcPr>
            <w:tcW w:type="dxa" w:w="4824"/>
          </w:tcPr>
          <w:p>
            <w:r>
              <w:t>Arbitration Award Module</w:t>
            </w:r>
          </w:p>
        </w:tc>
        <w:tc>
          <w:tcPr>
            <w:tcW w:type="dxa" w:w="4824"/>
          </w:tcPr>
          <w:p>
            <w:r>
              <w:t>Vol I §5.15</w:t>
            </w:r>
          </w:p>
        </w:tc>
      </w:tr>
      <w:tr>
        <w:tc>
          <w:tcPr>
            <w:tcW w:type="dxa" w:w="4824"/>
          </w:tcPr>
          <w:p>
            <w:r>
              <w:t>Communication Module (email/SMS/WhatsApp/in-app)</w:t>
            </w:r>
          </w:p>
        </w:tc>
        <w:tc>
          <w:tcPr>
            <w:tcW w:type="dxa" w:w="4824"/>
          </w:tcPr>
          <w:p>
            <w:r>
              <w:t>Vol I §5.12</w:t>
            </w:r>
          </w:p>
        </w:tc>
      </w:tr>
      <w:tr>
        <w:tc>
          <w:tcPr>
            <w:tcW w:type="dxa" w:w="4824"/>
          </w:tcPr>
          <w:p>
            <w:r>
              <w:t>Document Automation</w:t>
            </w:r>
          </w:p>
        </w:tc>
        <w:tc>
          <w:tcPr>
            <w:tcW w:type="dxa" w:w="4824"/>
          </w:tcPr>
          <w:p>
            <w:r>
              <w:t>Vol I §5.13</w:t>
            </w:r>
          </w:p>
        </w:tc>
      </w:tr>
      <w:tr>
        <w:tc>
          <w:tcPr>
            <w:tcW w:type="dxa" w:w="4824"/>
          </w:tcPr>
          <w:p>
            <w:r>
              <w:t>AI Layer (intake, summary, suggestions, research, transcript, risk)</w:t>
            </w:r>
          </w:p>
        </w:tc>
        <w:tc>
          <w:tcPr>
            <w:tcW w:type="dxa" w:w="4824"/>
          </w:tcPr>
          <w:p>
            <w:r>
              <w:t>Vol I §7; Vol II §16 governance</w:t>
            </w:r>
          </w:p>
        </w:tc>
      </w:tr>
      <w:tr>
        <w:tc>
          <w:tcPr>
            <w:tcW w:type="dxa" w:w="4824"/>
          </w:tcPr>
          <w:p>
            <w:r>
              <w:t>Finance &amp; Billing (fee calc, GST, invoices, refunds)</w:t>
            </w:r>
          </w:p>
        </w:tc>
        <w:tc>
          <w:tcPr>
            <w:tcW w:type="dxa" w:w="4824"/>
          </w:tcPr>
          <w:p>
            <w:r>
              <w:t>Vol I §5.16; Vol III App E</w:t>
            </w:r>
          </w:p>
        </w:tc>
      </w:tr>
      <w:tr>
        <w:tc>
          <w:tcPr>
            <w:tcW w:type="dxa" w:w="4824"/>
          </w:tcPr>
          <w:p>
            <w:r>
              <w:t>Escrow &amp; Settlement Funds</w:t>
            </w:r>
          </w:p>
        </w:tc>
        <w:tc>
          <w:tcPr>
            <w:tcW w:type="dxa" w:w="4824"/>
          </w:tcPr>
          <w:p>
            <w:r>
              <w:t>Vol I §5.17</w:t>
            </w:r>
          </w:p>
        </w:tc>
      </w:tr>
      <w:tr>
        <w:tc>
          <w:tcPr>
            <w:tcW w:type="dxa" w:w="4824"/>
          </w:tcPr>
          <w:p>
            <w:r>
              <w:t>Compliance &amp; Audit (trails, logs, reports)</w:t>
            </w:r>
          </w:p>
        </w:tc>
        <w:tc>
          <w:tcPr>
            <w:tcW w:type="dxa" w:w="4824"/>
          </w:tcPr>
          <w:p>
            <w:r>
              <w:t>Vol I §5.18; Vol II §9, §18</w:t>
            </w:r>
          </w:p>
        </w:tc>
      </w:tr>
      <w:tr>
        <w:tc>
          <w:tcPr>
            <w:tcW w:type="dxa" w:w="4824"/>
          </w:tcPr>
          <w:p>
            <w:r>
              <w:t>Analytics Dashboard</w:t>
            </w:r>
          </w:p>
        </w:tc>
        <w:tc>
          <w:tcPr>
            <w:tcW w:type="dxa" w:w="4824"/>
          </w:tcPr>
          <w:p>
            <w:r>
              <w:t>Vol I §5.19</w:t>
            </w:r>
          </w:p>
        </w:tc>
      </w:tr>
      <w:tr>
        <w:tc>
          <w:tcPr>
            <w:tcW w:type="dxa" w:w="4824"/>
          </w:tcPr>
          <w:p>
            <w:r>
              <w:t>Institutional Portal (bulk, SLA, analytics)</w:t>
            </w:r>
          </w:p>
        </w:tc>
        <w:tc>
          <w:tcPr>
            <w:tcW w:type="dxa" w:w="4824"/>
          </w:tcPr>
          <w:p>
            <w:r>
              <w:t>Vol I §5.21</w:t>
            </w:r>
          </w:p>
        </w:tc>
      </w:tr>
      <w:tr>
        <w:tc>
          <w:tcPr>
            <w:tcW w:type="dxa" w:w="4824"/>
          </w:tcPr>
          <w:p>
            <w:r>
              <w:t>Public Grievance Portal</w:t>
            </w:r>
          </w:p>
        </w:tc>
        <w:tc>
          <w:tcPr>
            <w:tcW w:type="dxa" w:w="4824"/>
          </w:tcPr>
          <w:p>
            <w:r>
              <w:t>Vol I §5.23</w:t>
            </w:r>
          </w:p>
        </w:tc>
      </w:tr>
      <w:tr>
        <w:tc>
          <w:tcPr>
            <w:tcW w:type="dxa" w:w="4824"/>
          </w:tcPr>
          <w:p>
            <w:r>
              <w:t>Marketplace / Panel Management</w:t>
            </w:r>
          </w:p>
        </w:tc>
        <w:tc>
          <w:tcPr>
            <w:tcW w:type="dxa" w:w="4824"/>
          </w:tcPr>
          <w:p>
            <w:r>
              <w:t>Vol I §5.22</w:t>
            </w:r>
          </w:p>
        </w:tc>
      </w:tr>
      <w:tr>
        <w:tc>
          <w:tcPr>
            <w:tcW w:type="dxa" w:w="4824"/>
          </w:tcPr>
          <w:p>
            <w:r>
              <w:t>Knowledge Repository</w:t>
            </w:r>
          </w:p>
        </w:tc>
        <w:tc>
          <w:tcPr>
            <w:tcW w:type="dxa" w:w="4824"/>
          </w:tcPr>
          <w:p>
            <w:r>
              <w:t>Vol I §5.22</w:t>
            </w:r>
          </w:p>
        </w:tc>
      </w:tr>
      <w:tr>
        <w:tc>
          <w:tcPr>
            <w:tcW w:type="dxa" w:w="4824"/>
          </w:tcPr>
          <w:p>
            <w:r>
              <w:t>Mobile Application (per persona)</w:t>
            </w:r>
          </w:p>
        </w:tc>
        <w:tc>
          <w:tcPr>
            <w:tcW w:type="dxa" w:w="4824"/>
          </w:tcPr>
          <w:p>
            <w:r>
              <w:t>Vol I §5.20</w:t>
            </w:r>
          </w:p>
        </w:tc>
      </w:tr>
      <w:tr>
        <w:tc>
          <w:tcPr>
            <w:tcW w:type="dxa" w:w="4824"/>
          </w:tcPr>
          <w:p>
            <w:r>
              <w:t>Enterprise Integrations (CRM/core-banking/DPI/payment/VC)</w:t>
            </w:r>
          </w:p>
        </w:tc>
        <w:tc>
          <w:tcPr>
            <w:tcW w:type="dxa" w:w="4824"/>
          </w:tcPr>
          <w:p>
            <w:r>
              <w:t>Vol I §5.24; Vol II §11, §15; Vol III App G</w:t>
            </w:r>
          </w:p>
        </w:tc>
      </w:tr>
      <w:tr>
        <w:tc>
          <w:tcPr>
            <w:tcW w:type="dxa" w:w="4824"/>
          </w:tcPr>
          <w:p>
            <w:r>
              <w:t>Multi-Tenant Architecture</w:t>
            </w:r>
          </w:p>
        </w:tc>
        <w:tc>
          <w:tcPr>
            <w:tcW w:type="dxa" w:w="4824"/>
          </w:tcPr>
          <w:p>
            <w:r>
              <w:t>Vol II §22</w:t>
            </w:r>
          </w:p>
        </w:tc>
      </w:tr>
      <w:tr>
        <w:tc>
          <w:tcPr>
            <w:tcW w:type="dxa" w:w="4824"/>
          </w:tcPr>
          <w:p>
            <w:r>
              <w:t>White-Label ODR Platform</w:t>
            </w:r>
          </w:p>
        </w:tc>
        <w:tc>
          <w:tcPr>
            <w:tcW w:type="dxa" w:w="4824"/>
          </w:tcPr>
          <w:p>
            <w:r>
              <w:t>Vol II §22; Vol I §5.2</w:t>
            </w:r>
          </w:p>
        </w:tc>
      </w:tr>
      <w:tr>
        <w:tc>
          <w:tcPr>
            <w:tcW w:type="dxa" w:w="4824"/>
          </w:tcPr>
          <w:p>
            <w:r>
              <w:t>API Layer (case/status/notification/document)</w:t>
            </w:r>
          </w:p>
        </w:tc>
        <w:tc>
          <w:tcPr>
            <w:tcW w:type="dxa" w:w="4824"/>
          </w:tcPr>
          <w:p>
            <w:r>
              <w:t>Vol I §5.24; Vol III App G</w:t>
            </w:r>
          </w:p>
        </w:tc>
      </w:tr>
      <w:tr>
        <w:tc>
          <w:tcPr>
            <w:tcW w:type="dxa" w:w="4824"/>
          </w:tcPr>
          <w:p>
            <w:r>
              <w:t>Maker-Checker Workflow</w:t>
            </w:r>
          </w:p>
        </w:tc>
        <w:tc>
          <w:tcPr>
            <w:tcW w:type="dxa" w:w="4824"/>
          </w:tcPr>
          <w:p>
            <w:r>
              <w:t>Vol II §22; Vol I §5.6</w:t>
            </w:r>
          </w:p>
        </w:tc>
      </w:tr>
      <w:tr>
        <w:tc>
          <w:tcPr>
            <w:tcW w:type="dxa" w:w="4824"/>
          </w:tcPr>
          <w:p>
            <w:r>
              <w:t>Security (zero-trust, encryption, threat model)</w:t>
            </w:r>
          </w:p>
        </w:tc>
        <w:tc>
          <w:tcPr>
            <w:tcW w:type="dxa" w:w="4824"/>
          </w:tcPr>
          <w:p>
            <w:r>
              <w:t>Vol II §8</w:t>
            </w:r>
          </w:p>
        </w:tc>
      </w:tr>
      <w:tr>
        <w:tc>
          <w:tcPr>
            <w:tcW w:type="dxa" w:w="4824"/>
          </w:tcPr>
          <w:p>
            <w:r>
              <w:t>DPDP alignment + DPDP Rules 2025 (consent mgr, 72-hr breach, SDF)</w:t>
            </w:r>
          </w:p>
        </w:tc>
        <w:tc>
          <w:tcPr>
            <w:tcW w:type="dxa" w:w="4824"/>
          </w:tcPr>
          <w:p>
            <w:r>
              <w:t>Vol II §9, §9.3</w:t>
            </w:r>
          </w:p>
        </w:tc>
      </w:tr>
      <w:tr>
        <w:tc>
          <w:tcPr>
            <w:tcW w:type="dxa" w:w="4824"/>
          </w:tcPr>
          <w:p>
            <w:r>
              <w:t>Arbitration Amendment Bill 2024 (audio-visual, digital agreement, institutional powers)</w:t>
            </w:r>
          </w:p>
        </w:tc>
        <w:tc>
          <w:tcPr>
            <w:tcW w:type="dxa" w:w="4824"/>
          </w:tcPr>
          <w:p>
            <w:r>
              <w:t>Vol I §5.7, §5.3, §5.8; Vol II §18</w:t>
            </w:r>
          </w:p>
        </w:tc>
      </w:tr>
      <w:tr>
        <w:tc>
          <w:tcPr>
            <w:tcW w:type="dxa" w:w="4824"/>
          </w:tcPr>
          <w:p>
            <w:r>
              <w:t>SEBI SMART-ODR track (conciliation→arbitration, SCORES SSO)</w:t>
            </w:r>
          </w:p>
        </w:tc>
        <w:tc>
          <w:tcPr>
            <w:tcW w:type="dxa" w:w="4824"/>
          </w:tcPr>
          <w:p>
            <w:r>
              <w:t>Vol I §5.6, §5.1, §5.24</w:t>
            </w:r>
          </w:p>
        </w:tc>
      </w:tr>
      <w:tr>
        <w:tc>
          <w:tcPr>
            <w:tcW w:type="dxa" w:w="4824"/>
          </w:tcPr>
          <w:p>
            <w:r>
              <w:t>AI explainability, contestability &amp; fairness</w:t>
            </w:r>
          </w:p>
        </w:tc>
        <w:tc>
          <w:tcPr>
            <w:tcW w:type="dxa" w:w="4824"/>
          </w:tcPr>
          <w:p>
            <w:r>
              <w:t>Vol I §7; Vol II §16</w:t>
            </w:r>
          </w:p>
        </w:tc>
      </w:tr>
      <w:tr>
        <w:tc>
          <w:tcPr>
            <w:tcW w:type="dxa" w:w="4824"/>
          </w:tcPr>
          <w:p>
            <w:r>
              <w:t>Due process, equality of arms &amp; internal appeal</w:t>
            </w:r>
          </w:p>
        </w:tc>
        <w:tc>
          <w:tcPr>
            <w:tcW w:type="dxa" w:w="4824"/>
          </w:tcPr>
          <w:p>
            <w:r>
              <w:t>Vol I §5.6, §5.7</w:t>
            </w:r>
          </w:p>
        </w:tc>
      </w:tr>
      <w:tr>
        <w:tc>
          <w:tcPr>
            <w:tcW w:type="dxa" w:w="4824"/>
          </w:tcPr>
          <w:p>
            <w:r>
              <w:t>Accessibility &amp; digital inclusion (WCAG 2.2 AA, IVR, vernacular, low-bandwidth)</w:t>
            </w:r>
          </w:p>
        </w:tc>
        <w:tc>
          <w:tcPr>
            <w:tcW w:type="dxa" w:w="4824"/>
          </w:tcPr>
          <w:p>
            <w:r>
              <w:t>Vol I §6; Vol II §7a</w:t>
            </w:r>
          </w:p>
        </w:tc>
      </w:tr>
      <w:tr>
        <w:tc>
          <w:tcPr>
            <w:tcW w:type="dxa" w:w="4824"/>
          </w:tcPr>
          <w:p>
            <w:r>
              <w:t>Trust services &amp; enforceability (qualified timestamp, ledger, enforcement pack, NY Convention)</w:t>
            </w:r>
          </w:p>
        </w:tc>
        <w:tc>
          <w:tcPr>
            <w:tcW w:type="dxa" w:w="4824"/>
          </w:tcPr>
          <w:p>
            <w:r>
              <w:t>Vol I §5.11, §5.13, §5.15; Vol II §16a</w:t>
            </w:r>
          </w:p>
        </w:tc>
      </w:tr>
      <w:tr>
        <w:tc>
          <w:tcPr>
            <w:tcW w:type="dxa" w:w="4824"/>
          </w:tcPr>
          <w:p>
            <w:r>
              <w:t>Identity assurance, fraud &amp; deepfake defence</w:t>
            </w:r>
          </w:p>
        </w:tc>
        <w:tc>
          <w:tcPr>
            <w:tcW w:type="dxa" w:w="4824"/>
          </w:tcPr>
          <w:p>
            <w:r>
              <w:t>Vol I §5.1, §5.10, §5.11</w:t>
            </w:r>
          </w:p>
        </w:tc>
      </w:tr>
      <w:tr>
        <w:tc>
          <w:tcPr>
            <w:tcW w:type="dxa" w:w="4824"/>
          </w:tcPr>
          <w:p>
            <w:r>
              <w:t>ACI accreditation readiness</w:t>
            </w:r>
          </w:p>
        </w:tc>
        <w:tc>
          <w:tcPr>
            <w:tcW w:type="dxa" w:w="4824"/>
          </w:tcPr>
          <w:p>
            <w:r>
              <w:t>Vol I §5.8; Vol II §18</w:t>
            </w:r>
          </w:p>
        </w:tc>
      </w:tr>
      <w:tr>
        <w:tc>
          <w:tcPr>
            <w:tcW w:type="dxa" w:w="4824"/>
          </w:tcPr>
          <w:p>
            <w:r>
              <w:t>Court-annexed &amp; Lok Adalat referrals (Sec 89 CPC / LSA Act)</w:t>
            </w:r>
          </w:p>
        </w:tc>
        <w:tc>
          <w:tcPr>
            <w:tcW w:type="dxa" w:w="4824"/>
          </w:tcPr>
          <w:p>
            <w:r>
              <w:t>Vol I §5.4, §5.24; Vol III App G; Vol II §18</w:t>
            </w:r>
          </w:p>
        </w:tc>
      </w:tr>
      <w:tr>
        <w:tc>
          <w:tcPr>
            <w:tcW w:type="dxa" w:w="4824"/>
          </w:tcPr>
          <w:p>
            <w:r>
              <w:t>Architecture diagrams (system context, module map, lifecycle)</w:t>
            </w:r>
          </w:p>
        </w:tc>
        <w:tc>
          <w:tcPr>
            <w:tcW w:type="dxa" w:w="4824"/>
          </w:tcPr>
          <w:p>
            <w:r>
              <w:t>Vol I §4.6 (Figures D1–D3)</w:t>
            </w:r>
          </w:p>
        </w:tc>
      </w:tr>
      <w:tr>
        <w:tc>
          <w:tcPr>
            <w:tcW w:type="dxa" w:w="4824"/>
          </w:tcPr>
          <w:p>
            <w:r>
              <w:t>ISO 27001 / SOC 2 &amp; transparency reporting</w:t>
            </w:r>
          </w:p>
        </w:tc>
        <w:tc>
          <w:tcPr>
            <w:tcW w:type="dxa" w:w="4824"/>
          </w:tcPr>
          <w:p>
            <w:r>
              <w:t>Vol II §19</w:t>
            </w:r>
          </w:p>
        </w:tc>
      </w:tr>
      <w:tr>
        <w:tc>
          <w:tcPr>
            <w:tcW w:type="dxa" w:w="4824"/>
          </w:tcPr>
          <w:p>
            <w:r>
              <w:t>Sizing, capacity &amp; SLA/SLO with service credits</w:t>
            </w:r>
          </w:p>
        </w:tc>
        <w:tc>
          <w:tcPr>
            <w:tcW w:type="dxa" w:w="4824"/>
          </w:tcPr>
          <w:p>
            <w:r>
              <w:t>Vol II §7b</w:t>
            </w:r>
          </w:p>
        </w:tc>
      </w:tr>
      <w:tr>
        <w:tc>
          <w:tcPr>
            <w:tcW w:type="dxa" w:w="4824"/>
          </w:tcPr>
          <w:p>
            <w:r>
              <w:t>Observability, SOC &amp; incident response (severity matrix, RCA)</w:t>
            </w:r>
          </w:p>
        </w:tc>
        <w:tc>
          <w:tcPr>
            <w:tcW w:type="dxa" w:w="4824"/>
          </w:tcPr>
          <w:p>
            <w:r>
              <w:t>Vol II §11a</w:t>
            </w:r>
          </w:p>
        </w:tc>
      </w:tr>
      <w:tr>
        <w:tc>
          <w:tcPr>
            <w:tcW w:type="dxa" w:w="4824"/>
          </w:tcPr>
          <w:p>
            <w:r>
              <w:t>STRIDE/LINDDUN threat model</w:t>
            </w:r>
          </w:p>
        </w:tc>
        <w:tc>
          <w:tcPr>
            <w:tcW w:type="dxa" w:w="4824"/>
          </w:tcPr>
          <w:p>
            <w:r>
              <w:t>Vol II §8.3; Vol III App DPIA</w:t>
            </w:r>
          </w:p>
        </w:tc>
      </w:tr>
      <w:tr>
        <w:tc>
          <w:tcPr>
            <w:tcW w:type="dxa" w:w="4824"/>
          </w:tcPr>
          <w:p>
            <w:r>
              <w:t>AI evaluation &amp; assurance (thresholds, leakage tests, model cards)</w:t>
            </w:r>
          </w:p>
        </w:tc>
        <w:tc>
          <w:tcPr>
            <w:tcW w:type="dxa" w:w="4824"/>
          </w:tcPr>
          <w:p>
            <w:r>
              <w:t>Vol II §16.1</w:t>
            </w:r>
          </w:p>
        </w:tc>
      </w:tr>
      <w:tr>
        <w:tc>
          <w:tcPr>
            <w:tcW w:type="dxa" w:w="4824"/>
          </w:tcPr>
          <w:p>
            <w:r>
              <w:t>DPIA template (DPDP / SDF)</w:t>
            </w:r>
          </w:p>
        </w:tc>
        <w:tc>
          <w:tcPr>
            <w:tcW w:type="dxa" w:w="4824"/>
          </w:tcPr>
          <w:p>
            <w:r>
              <w:t>Vol III App DPIA</w:t>
            </w:r>
          </w:p>
        </w:tc>
      </w:tr>
      <w:tr>
        <w:tc>
          <w:tcPr>
            <w:tcW w:type="dxa" w:w="4824"/>
          </w:tcPr>
          <w:p>
            <w:r>
              <w:t>Unit economics / cost-to-serve &amp; TCO</w:t>
            </w:r>
          </w:p>
        </w:tc>
        <w:tc>
          <w:tcPr>
            <w:tcW w:type="dxa" w:w="4824"/>
          </w:tcPr>
          <w:p>
            <w:r>
              <w:t>Vol III App UE</w:t>
            </w:r>
          </w:p>
        </w:tc>
      </w:tr>
      <w:tr>
        <w:tc>
          <w:tcPr>
            <w:tcW w:type="dxa" w:w="4824"/>
          </w:tcPr>
          <w:p>
            <w:r>
              <w:t>Phase exit criteria / Definition of Done</w:t>
            </w:r>
          </w:p>
        </w:tc>
        <w:tc>
          <w:tcPr>
            <w:tcW w:type="dxa" w:w="4824"/>
          </w:tcPr>
          <w:p>
            <w:r>
              <w:t>Vol II §23.1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2B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2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