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2B4A"/>
          <w:sz w:val="48"/>
        </w:rPr>
        <w:t>DRSP Platform — Executive Briefing</w:t>
      </w:r>
    </w:p>
    <w:p>
      <w:r>
        <w:rPr>
          <w:rFonts w:ascii="Arial" w:hAnsi="Arial"/>
          <w:color w:val="5A6B85"/>
          <w:sz w:val="24"/>
        </w:rPr>
        <w:t>Dispute Resolution Service Provider (ODR/ADR) · India · June 2026</w:t>
      </w:r>
    </w:p>
    <w:p/>
    <w:p>
      <w:pPr>
        <w:pStyle w:val="Heading1"/>
      </w:pPr>
      <w:r>
        <w:t>Document Control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>
              <w:t>Document</w:t>
            </w:r>
          </w:p>
        </w:tc>
        <w:tc>
          <w:tcPr>
            <w:tcW w:type="dxa" w:w="4824"/>
          </w:tcPr>
          <w:p>
            <w:r>
              <w:t>DRSP Platform — Executive Briefing</w:t>
            </w:r>
          </w:p>
        </w:tc>
      </w:tr>
      <w:tr>
        <w:tc>
          <w:tcPr>
            <w:tcW w:type="dxa" w:w="4824"/>
          </w:tcPr>
          <w:p>
            <w:r>
              <w:t>Owner</w:t>
            </w:r>
          </w:p>
        </w:tc>
        <w:tc>
          <w:tcPr>
            <w:tcW w:type="dxa" w:w="4824"/>
          </w:tcPr>
          <w:p>
            <w:r>
              <w:t>LawDocs / Infrabyx</w:t>
            </w:r>
          </w:p>
        </w:tc>
      </w:tr>
      <w:tr>
        <w:tc>
          <w:tcPr>
            <w:tcW w:type="dxa" w:w="4824"/>
          </w:tcPr>
          <w:p>
            <w:r>
              <w:t>Version</w:t>
            </w:r>
          </w:p>
        </w:tc>
        <w:tc>
          <w:tcPr>
            <w:tcW w:type="dxa" w:w="4824"/>
          </w:tcPr>
          <w:p>
            <w:r>
              <w:t>2.0 — June 2026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Draft for review</w:t>
            </w:r>
          </w:p>
        </w:tc>
      </w:tr>
      <w:tr>
        <w:tc>
          <w:tcPr>
            <w:tcW w:type="dxa" w:w="4824"/>
          </w:tcPr>
          <w:p>
            <w:r>
              <w:t>Related</w:t>
            </w:r>
          </w:p>
        </w:tc>
        <w:tc>
          <w:tcPr>
            <w:tcW w:type="dxa" w:w="4824"/>
          </w:tcPr>
          <w:p>
            <w:r>
              <w:t>DRSP Architecture Vol I–III</w:t>
            </w:r>
          </w:p>
        </w:tc>
      </w:tr>
      <w:tr>
        <w:tc>
          <w:tcPr>
            <w:tcW w:type="dxa" w:w="4824"/>
          </w:tcPr>
          <w:p>
            <w:r>
              <w:t>Confidentiality</w:t>
            </w:r>
          </w:p>
        </w:tc>
        <w:tc>
          <w:tcPr>
            <w:tcW w:type="dxa" w:w="4824"/>
          </w:tcPr>
          <w:p>
            <w:r>
              <w:t>Confidential</w:t>
            </w:r>
          </w:p>
        </w:tc>
      </w:tr>
    </w:tbl>
    <w:p>
      <w:pPr>
        <w:pStyle w:val="Heading1"/>
      </w:pPr>
      <w:r>
        <w:t>The Opportunity</w:t>
      </w:r>
    </w:p>
    <w:p>
      <w:r>
        <w:t>Court backlogs and India's policy push (NITI Aayog ODR Policy Plan, Mediation Act 2023) make Online Dispute Resolution the default for small- and medium-value commercial, consumer and financial disputes. Regulated entities must operate grievance and ODR systems; high-volume sectors — e-commerce, fintech, collections, insurance — need automated, sub-30-day, low-cost resolution. The DRSP Platform captures this as a neutral, white-label, API-first platform spanning every resolution method and sector.</w:t>
      </w:r>
    </w:p>
    <w:p>
      <w:pPr>
        <w:pStyle w:val="Heading1"/>
      </w:pPr>
      <w:r>
        <w:t>What We Are Building</w:t>
      </w:r>
    </w:p>
    <w:p>
      <w:r>
        <w:t>A multi-tenant, cloud-native Dispute Resolution Service Provider platform that manages the full dispute lifecycle — negotiation, mediation, conciliation, arbitration, hybrids, neutral evaluation, expert determination and ombudsman/grievance redressal — on one case spine, with 26 functional modules across five product layers, an advisory AI Resolution Engine, regulated escrow, and separate role-specific dashboards for every persona.</w:t>
      </w:r>
    </w:p>
    <w:p>
      <w:pPr>
        <w:pStyle w:val="Heading1"/>
      </w:pPr>
      <w:r>
        <w:t>Why It Wins</w:t>
      </w:r>
    </w:p>
    <w:p>
      <w:pPr>
        <w:pStyle w:val="ListBullet"/>
      </w:pPr>
      <w:r>
        <w:t>Full lifecycle, every method, every sector — not just a mediation or arbitration portal.</w:t>
      </w:r>
    </w:p>
    <w:p>
      <w:pPr>
        <w:pStyle w:val="ListBullet"/>
      </w:pPr>
      <w:r>
        <w:t>Compliance by construction: Mediation Act 2023, Arbitration Act 1996, IT Act 2000, DPDP 2023, RBI IOS 2021, CPA 2019, Singapore Convention.</w:t>
      </w:r>
    </w:p>
    <w:p>
      <w:pPr>
        <w:pStyle w:val="ListBullet"/>
      </w:pPr>
      <w:r>
        <w:t>Zero-trust security with RBAC + ABAC, caucus sealing, tamper-evident audit and regulated escrow.</w:t>
      </w:r>
    </w:p>
    <w:p>
      <w:pPr>
        <w:pStyle w:val="ListBullet"/>
      </w:pPr>
      <w:r>
        <w:t>Multi-tenant &amp; white-label: institutions integrate once and resolve at scale under their own brand.</w:t>
      </w:r>
    </w:p>
    <w:p>
      <w:pPr>
        <w:pStyle w:val="ListBullet"/>
      </w:pPr>
      <w:r>
        <w:t>Advisory AI that accelerates outcomes while preserving neutral authority and confidentiality.</w:t>
      </w:r>
    </w:p>
    <w:p>
      <w:pPr>
        <w:pStyle w:val="Heading1"/>
      </w:pPr>
      <w:r>
        <w:t>Commercial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Lever</w:t>
            </w:r>
          </w:p>
        </w:tc>
        <w:tc>
          <w:tcPr>
            <w:tcW w:type="dxa" w:w="4824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4824"/>
          </w:tcPr>
          <w:p>
            <w:r>
              <w:t>Editions</w:t>
            </w:r>
          </w:p>
        </w:tc>
        <w:tc>
          <w:tcPr>
            <w:tcW w:type="dxa" w:w="4824"/>
          </w:tcPr>
          <w:p>
            <w:r>
              <w:t>Starter (ODR Core) · Professional · Enterprise/White-Label · usage add-ons</w:t>
            </w:r>
          </w:p>
        </w:tc>
      </w:tr>
      <w:tr>
        <w:tc>
          <w:tcPr>
            <w:tcW w:type="dxa" w:w="4824"/>
          </w:tcPr>
          <w:p>
            <w:r>
              <w:t>Models</w:t>
            </w:r>
          </w:p>
        </w:tc>
        <w:tc>
          <w:tcPr>
            <w:tcW w:type="dxa" w:w="4824"/>
          </w:tcPr>
          <w:p>
            <w:r>
              <w:t>SaaS subscription · per-case/success fee · white-label licensing · marketplace · dedicated</w:t>
            </w:r>
          </w:p>
        </w:tc>
      </w:tr>
      <w:tr>
        <w:tc>
          <w:tcPr>
            <w:tcW w:type="dxa" w:w="4824"/>
          </w:tcPr>
          <w:p>
            <w:r>
              <w:t>Target buyers</w:t>
            </w:r>
          </w:p>
        </w:tc>
        <w:tc>
          <w:tcPr>
            <w:tcW w:type="dxa" w:w="4824"/>
          </w:tcPr>
          <w:p>
            <w:r>
              <w:t>ADR institutions, banks, NBFCs, insurers, e-commerce, corporates, MSMEs, startups</w:t>
            </w:r>
          </w:p>
        </w:tc>
      </w:tr>
    </w:tbl>
    <w:p>
      <w:pPr>
        <w:pStyle w:val="Heading1"/>
      </w:pPr>
      <w:r>
        <w:t>Delivery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4824"/>
          </w:tcPr>
          <w:p>
            <w:r>
              <w:t>Phase 0–1</w:t>
            </w:r>
          </w:p>
        </w:tc>
        <w:tc>
          <w:tcPr>
            <w:tcW w:type="dxa" w:w="4824"/>
          </w:tcPr>
          <w:p>
            <w:r>
              <w:t>Foundations + ODR Core (filing, mediation, hearings, settlements)</w:t>
            </w:r>
          </w:p>
        </w:tc>
      </w:tr>
      <w:tr>
        <w:tc>
          <w:tcPr>
            <w:tcW w:type="dxa" w:w="4824"/>
          </w:tcPr>
          <w:p>
            <w:r>
              <w:t>Phase 2–3</w:t>
            </w:r>
          </w:p>
        </w:tc>
        <w:tc>
          <w:tcPr>
            <w:tcW w:type="dxa" w:w="4824"/>
          </w:tcPr>
          <w:p>
            <w:r>
              <w:t>Arbitration/conciliation + institutional portal &amp; white-label</w:t>
            </w:r>
          </w:p>
        </w:tc>
      </w:tr>
      <w:tr>
        <w:tc>
          <w:tcPr>
            <w:tcW w:type="dxa" w:w="4824"/>
          </w:tcPr>
          <w:p>
            <w:r>
              <w:t>Phase 4–5</w:t>
            </w:r>
          </w:p>
        </w:tc>
        <w:tc>
          <w:tcPr>
            <w:tcW w:type="dxa" w:w="4824"/>
          </w:tcPr>
          <w:p>
            <w:r>
              <w:t>AI engine, grievance/ombudsman, hardening &amp; GA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2B4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2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