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30"/>
        <w:jc w:val="center"/>
      </w:pPr>
      <w:r>
        <w:rPr>
          <w:b/>
          <w:bCs/>
          <w:color w:val="0B2A4A"/>
          <w:sz w:val="48"/>
          <w:szCs w:val="48"/>
        </w:rPr>
        <w:t xml:space="preserve">EQUATOR RESOLUTION</w:t>
      </w:r>
    </w:p>
    <w:p>
      <w:pPr>
        <w:pBdr>
          <w:bottom w:val="single" w:color="0E7C7B" w:sz="12" w:space="6"/>
        </w:pBdr>
        <w:spacing w:after="220"/>
        <w:jc w:val="center"/>
      </w:pPr>
      <w:r>
        <w:rPr>
          <w:sz w:val="2"/>
          <w:szCs w:val="2"/>
        </w:rPr>
        <w:t xml:space="preserve"/>
      </w:r>
    </w:p>
    <w:p>
      <w:pPr>
        <w:spacing w:after="22"/>
        <w:jc w:val="center"/>
      </w:pPr>
      <w:r>
        <w:rPr>
          <w:b/>
          <w:bCs/>
          <w:color w:val="1F2937"/>
          <w:sz w:val="38"/>
          <w:szCs w:val="38"/>
        </w:rPr>
        <w:t xml:space="preserve">Master Index &amp; Reading Guide</w:t>
      </w:r>
    </w:p>
    <w:p>
      <w:pPr>
        <w:spacing w:after="20"/>
        <w:jc w:val="center"/>
      </w:pPr>
      <w:r>
        <w:rPr>
          <w:color w:val="6B7280"/>
          <w:sz w:val="22"/>
          <w:szCs w:val="22"/>
        </w:rPr>
        <w:t xml:space="preserve">The navigation map for the Equator Resolution documentation set</w:t>
      </w:r>
    </w:p>
    <w:p>
      <w:pPr>
        <w:spacing w:after="480"/>
        <w:jc w:val="center"/>
      </w:pPr>
      <w:r>
        <w:rPr>
          <w:color w:val="1F6FB2"/>
          <w:sz w:val="19"/>
          <w:szCs w:val="19"/>
        </w:rPr>
        <w:t xml:space="preserve">Start here — what every document is, who it's for, and the order to read them</w:t>
      </w:r>
    </w:p>
    <w:p>
      <w:pPr>
        <w:spacing w:after="18"/>
        <w:jc w:val="center"/>
      </w:pPr>
      <w:r>
        <w:rPr>
          <w:color w:val="6B7280"/>
          <w:sz w:val="18"/>
          <w:szCs w:val="18"/>
        </w:rPr>
        <w:t xml:space="preserve">Document DOC-00  ·  Version 1.0  ·  June 2026  · 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Master Index &amp; Reading Guide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code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DOC-00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Issued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 / Architecture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Confidential — Internal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Single entry point to the documentation pack; defines the document set, audiences, reading paths and standards.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to Read This Pack</w:t>
      </w:r>
    </w:p>
    <w:p>
      <w:pPr>
        <w:spacing w:after="140" w:line="276"/>
      </w:pPr>
      <w:r>
        <w:t xml:space="preserve">This is a complete documentation set for the Equator Resolution platform — an Online Dispute Resolution (ODR) platform and institution spanning marital, NBFC–borrower, commercial and workplace (POSH) disputes, with a managed institution (EDRS), a neutral-facing Private Court, and an Academy. The pack is organised into six families. Read the family that matches your role; use this index to jump.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Document family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What it answers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Primary audience</w:t>
            </w:r>
          </w:p>
        </w:tc>
      </w:tr>
      <w:tr>
        <w:tc>
          <w:tcPr>
            <w:tcW w:type="dxa" w:w="2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A · Strategy &amp; Market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Why this, how big, who else, the business model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Founders, investors, board</w:t>
            </w:r>
          </w:p>
        </w:tc>
      </w:tr>
      <w:tr>
        <w:tc>
          <w:tcPr>
            <w:tcW w:type="dxa" w:w="2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B · Architecture &amp; Build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How the platform is designed and built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CTO, architects, engineers</w:t>
            </w:r>
          </w:p>
        </w:tc>
      </w:tr>
      <w:tr>
        <w:tc>
          <w:tcPr>
            <w:tcW w:type="dxa" w:w="2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C · Legal Process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The law &amp; procedure each dispute follows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Legal team, mediators, case managers</w:t>
            </w:r>
          </w:p>
        </w:tc>
      </w:tr>
      <w:tr>
        <w:tc>
          <w:tcPr>
            <w:tcW w:type="dxa" w:w="2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D · Governance &amp; Assurance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How quality, risk, security &amp; compliance are proven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Risk, security, compliance, audit</w:t>
            </w:r>
          </w:p>
        </w:tc>
      </w:tr>
      <w:tr>
        <w:tc>
          <w:tcPr>
            <w:tcW w:type="dxa" w:w="2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E · Finance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Unit economics, scenarios, funding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Founders, CFO, investors</w:t>
            </w:r>
          </w:p>
        </w:tc>
      </w:tr>
      <w:tr>
        <w:tc>
          <w:tcPr>
            <w:tcW w:type="dxa" w:w="2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F · Visual &amp; Reference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Diagrams, wireframes, API, data spec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All / engineering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0E7C7B" w:sz="24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Reading paths by role</w:t>
            </w:r>
          </w:p>
          <w:p>
            <w:p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Investor/Board: DOC-00 → Investor Deck → Competitor &amp; Market → Research &amp; Evidence Annex → Financial Model (Scenarios) → Risk Register.</w:t>
            </w:r>
          </w:p>
          <w:p>
            <w:p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CTO/Architect: DOC-00 → Architecture Document → Diagrams → Forms &amp; DB Spec → Traceability/RTM → Security &amp; Compliance → NFR/Operations → Test &amp; QA → OpenAPI.</w:t>
            </w:r>
          </w:p>
          <w:p>
            <w:pPr>
              <w:spacing w:after="60"/>
            </w:pPr>
            <w:r>
              <w:rPr>
                <w:color w:val="1F2937"/>
                <w:sz w:val="19"/>
                <w:szCs w:val="19"/>
              </w:rPr>
              <w:t xml:space="preserve">Legal/Ops: DOC-00 → Process &amp; Procedure Playbook → Family Disputes Playbook → Forms &amp; DB Spec (tabs 4c/4d) → Security &amp; Compliance (data/confidentiality).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Auditor: DOC-00 → Traceability/RTM → Risk Register &amp; ADR → Security &amp; Compliance → Test &amp; QA → Research &amp; Evidence Annex.</w:t>
            </w:r>
          </w:p>
        </w:tc>
      </w:tr>
    </w:tbl>
    <w:p>
      <w:pPr>
        <w:pStyle w:val="Heading1"/>
      </w:pPr>
      <w:r>
        <w:t xml:space="preserve">2. Document Register</w:t>
      </w:r>
    </w:p>
    <w:p>
      <w:pPr>
        <w:spacing w:after="140" w:line="276"/>
      </w:pPr>
      <w:r>
        <w:t xml:space="preserve">Every deliverable in the pack, with its code, format, purpose and audience. Codes are referenced across documents (e.g., ‘see DOC-08’).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300"/>
        <w:gridCol w:w="30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Document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Audience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DOC-00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Master Index &amp; Reading Guide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Navigation map for the pack (this document)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DOC-01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Platform &amp; Solution Architecture (v1.3)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Master architecture: business, modules, services, data, security, AI, roadmap, + v1.1 (Sec 19), v1.2 (Sec 20) &amp; v1.3 competitive-response (Sec 21) enhancements (31 in total)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CTO, architects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Forms &amp; Database Specification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Excel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Field-level forms + relational schema + workflow catalogues + process forms + v1.1/v1.2/v1.3 enhancement tables (tabs 4b–4f)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IT / engineering, legal-ops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DOC-03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Architecture Diagrams (PDF + HTML + editable Word)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PDF/HTML/Word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System context, layers, microservices, lifecycle, deployment, ERD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DOC-04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Competitor &amp; Market Research Report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ODR landscape (India + global), feature gaps, positioning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Founders, strategy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DOC-05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Investor &amp; Stakeholder Deck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PowerPoint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The condensed story: problem, market, product, moat, ask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Investors, board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DOC-06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Dispute Resolution Process &amp; Procedure Playbook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All four pillars: logic, workflow, defences, remedies, appeals, timelines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Legal, IT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DOC-07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Family &amp; Matrimonial Disputes — Deep-Dive Playbook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Exhaustive family law: forums, both-side remedies &amp; strategy, social scenarios, mediation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Legal, family mediators, IT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DOC-08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Traceability Framework &amp; RTM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ID scheme + Requirements Traceability Matrix (objectives→tests→controls)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Architecture, QA, audit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DOC-09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 Register &amp; ADR Log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Scored risks (inherent vs residual) + architecture decision records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Risk, architecture board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DOC-10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Research &amp; Evidence Annex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Every market/legal/competitor claim, sourced &amp; confidence-rated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Strategy, investors, audit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DOC-11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 &amp; Compliance Pack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STRIDE threat model, ISO 27001 + SOC 2 control matrix, data classification &amp; retention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Security, compliance, audit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NFR &amp; Operations Pack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SLAs/SLOs, capacity, DR runbook, observability, integration contracts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SRE/ops, engineering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DOC-13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Test &amp; QA Architecture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Word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Test strategy, synthetic test data, acceptance criteria tied to requirements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QA, engineering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DOC-14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Financial Model — Base (driver-based)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Excel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5-year P&amp;L, per-LOB revenue, unit economics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Founders, CFO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DOC-15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Financial Model — Scenarios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Excel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Base/Bull/Bear switch, sensitivity, CAC/LTV, cash runway &amp; funding need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Founders, CFO, investors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DOC-16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UI Wireframes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HTML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High-fidelity mockups of priority screens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Product, design, engineering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DOC-17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API Reference + OpenAPI spec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HTML/YAML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Lender-integration &amp; embed API (3.1), browsable reference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Engineering, partners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8FB" w:sz="1"/>
              <w:left w:val="single" w:color="6B7280" w:sz="24"/>
              <w:bottom w:val="single" w:color="F4F8FB" w:sz="1"/>
              <w:right w:val="single" w:color="F4F8FB" w:sz="1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File-name map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DOC-01 Equator_Resolution_Architecture.docx · DOC-02 Equator_Forms_DB_Spec.xlsx · DOC-03 Equator_Architecture_Diagrams.* · DOC-04 Equator_Competitor_Market_Research.docx · DOC-05 Equator_Resolution_Investor_Deck.pptx · DOC-06 Equator_Dispute_Process_Playbook.docx · DOC-07 Equator_Family_Disputes_Playbook.docx · DOC-08 Equator_Traceability_RTM.docx · DOC-09 Equator_Risk_Register_ADR.docx · DOC-10 Equator_Research_Evidence_Annex.docx · DOC-11 Equator_Security_Compliance_Pack.docx · DOC-12 Equator_NFR_Operations_Pack.docx · DOC-13 Equator_Test_QA_Architecture.docx · DOC-14 Equator_Financial_Model.xlsx · DOC-15 Equator_Financial_Model_Scenarios.xlsx · DOC-16 Equator_Wireframes.html · DOC-17 Equator_API_Reference.html / equator_openapi.yaml.</w:t>
            </w:r>
          </w:p>
        </w:tc>
      </w:tr>
    </w:tbl>
    <w:p>
      <w:pPr>
        <w:pStyle w:val="Heading1"/>
      </w:pPr>
      <w:r>
        <w:t xml:space="preserve">3. How the Documents Interlock</w:t>
      </w:r>
    </w:p>
    <w:p>
      <w:pPr>
        <w:spacing w:after="140" w:line="276"/>
      </w:pPr>
      <w:r>
        <w:t xml:space="preserve">The pack is a connected system, not a pile of files. The traceability spine (DOC-08) is the backbone: it links the business objectives (DOC-01, DOC-05) to requirements, then forward to architecture decisions (DOC-09), data (DOC-02), tests (DOC-13), risks (DOC-09) and controls (DOC-11). The legal playbooks (DOC-06/07) feed the workflow catalogues in DOC-02 and the clocks the platform must honour.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If you change…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…check the impact in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 regulation / timeline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DOC-06/07 (law) → DOC-02 (limitation_rules) → DOC-01 §19.5 (ruleset version) → DOC-08 (REQ/LAW) → DOC-13 (test)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An architecture decision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DOC-09 (ADR) → DOC-01 → DOC-02 (schema) → DOC-08 (REQ) → DOC-13 (test)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 data field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DOC-02 → DOC-08 (DAT) → DOC-11 (classification/retention) → DOC-13 (test)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 risk or control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DOC-09 (risk) / DOC-11 (control) → DOC-08 (RISK/CTRL) → DOC-13 (test)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 financial assumption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DOC-15 (assumptions log) → DOC-14 → DOC-05 (deck)</w:t>
            </w:r>
          </w:p>
        </w:tc>
      </w:tr>
    </w:tbl>
    <w:p>
      <w:pPr>
        <w:pStyle w:val="Heading1"/>
      </w:pPr>
      <w:r>
        <w:t xml:space="preserve">4. Documentation Standards (applied across the pack)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Front matter: every document opens with a Document Control table (title, code, version, date, status, owner, classification, audience) and a Contents page.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Identifiers: OBJ / REQ / ADR / DAT / TC / RISK / CTRL / LAW (defined in DOC-08) are used consistently and cross-referenced.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Confidentiality: all documents are Confidential — Internal; legal documents carry a ‘not advice for a specific matter’ caveat; time-sensitive figures carry a ‘re-verify’ note.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Design system: one palette (navy/teal), numbered headings, navy-header zebra tables, left-bar callouts; figures and tables are titled.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Versioning &amp; change log: material changes bump the version and add a change-log entry; superseded items are retained with a pointer.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Single source of truth: the platform rulesets (DOC-01 §5.2, §19.5) are authoritative for live behaviour; the documents describe and must be kept in step with them by qualified owners.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Governance &amp; review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Body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Remit</w:t>
            </w:r>
          </w:p>
        </w:tc>
        <w:tc>
          <w:tcPr>
            <w:tcW w:type="dxa" w:w="2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Cadence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Architecture Review Board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ADRs, RTM coverage, NFR sign-off</w:t>
            </w:r>
          </w:p>
        </w:tc>
        <w:tc>
          <w:tcPr>
            <w:tcW w:type="dxa" w:w="2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Per phase gate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Change Advisory Board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Ruleset &amp; config changes</w:t>
            </w:r>
          </w:p>
        </w:tc>
        <w:tc>
          <w:tcPr>
            <w:tcW w:type="dxa" w:w="2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On change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Model-Risk Committee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AI governance, model registry</w:t>
            </w:r>
          </w:p>
        </w:tc>
        <w:tc>
          <w:tcPr>
            <w:tcW w:type="dxa" w:w="2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Quarterly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Compliance review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Controls register, legal updates, evidence annex</w:t>
            </w:r>
          </w:p>
        </w:tc>
        <w:tc>
          <w:tcPr>
            <w:tcW w:type="dxa" w:w="2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Quarterly / on regulation change</w:t>
            </w:r>
          </w:p>
        </w:tc>
      </w:tr>
    </w:tbl>
    <w:p>
      <w:pPr>
        <w:pStyle w:val="Heading1"/>
      </w:pPr>
      <w:r>
        <w:t xml:space="preserve">5. Maturity Self-Assessment (against advisory-grade standard)</w:t>
      </w:r>
    </w:p>
    <w:p>
      <w:pPr>
        <w:spacing w:after="140" w:line="276"/>
      </w:pPr>
      <w:r>
        <w:t xml:space="preserve">An honest read of where the pack sits, to guide further investment.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Architecture completeness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Strong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Layered, configurable, multi-segment; 31 enhancements across v1.1 (enforceability/compliance), v1.2 (production-hardening) + v1.3 (competitive-response to 2026 market)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Traceability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Established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ID scheme + RTM in place (DOC-08); keep as living data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Risk &amp; decision governance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Established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Scored register + ADR log (DOC-09)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Security &amp; compliance evidence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Established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STRIDE + ISO/SOC matrix + data classification (DOC-11)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Legal depth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Strong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Practitioner-grade playbooks incl. case law (DOC-06/07)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Financial rigour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Strong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Scenarios, sensitivity, CAC/LTV, runway (DOC-15)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NFR / operations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Established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SLAs, capacity, DR, observability (DOC-12)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Test &amp; QA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Established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Strategy + synthetic data + acceptance criteria (DOC-13)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Living-document discipline</w:t>
            </w:r>
          </w:p>
        </w:tc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To embed</w:t>
            </w:r>
          </w:p>
        </w:tc>
        <w:tc>
          <w:tcPr>
            <w:tcW w:type="dxa" w:w="4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Move RTM/register/controls into a tracked repo with owners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EA" w:sz="1"/>
              <w:left w:val="single" w:color="1E7D34" w:sz="24"/>
              <w:bottom w:val="single" w:color="E6F4EA" w:sz="1"/>
              <w:right w:val="single" w:color="E6F4EA" w:sz="1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The one habit that sustains this standard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Documents drift the moment they ship. The single most important next step is operational, not authorial: put the RTM (DOC-08), the risk register &amp; ADR log (DOC-09), and the controls register (DOC-11) into a version-controlled repository with named owners and the review cadence above. Advisory-grade is a process, not a one-time artefact.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i/>
          <w:iCs/>
          <w:color w:val="6B7280"/>
        </w:rPr>
        <w:t xml:space="preserve">End of DOC-00 v1.0.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60"/>
      <w:jc w:val="center"/>
    </w:pPr>
    <w:r>
      <w:rPr>
        <w:color w:val="6B7280"/>
        <w:sz w:val="13"/>
        <w:szCs w:val="13"/>
      </w:rPr>
      <w:t xml:space="preserve">Confidential   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3"/>
        <w:szCs w:val="13"/>
      </w:rPr>
      <w:t xml:space="preserve"> of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80"/>
      <w:jc w:val="right"/>
    </w:pPr>
    <w:r>
      <w:rPr>
        <w:b/>
        <w:bCs/>
        <w:color w:val="0B2A4A"/>
        <w:sz w:val="15"/>
        <w:szCs w:val="15"/>
      </w:rPr>
      <w:t xml:space="preserve">EQUATOR RESOLUTION</w:t>
    </w:r>
    <w:r>
      <w:rPr>
        <w:color w:val="6B7280"/>
        <w:sz w:val="15"/>
        <w:szCs w:val="15"/>
      </w:rPr>
      <w:t xml:space="preserve">   |   Master Index (DOC-00)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47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  <w:style w:type="paragraph" w:styleId="Hyperlink">
    <w:name w:val="Hyperlink"/>
    <w:basedOn w:val="Normal"/>
    <w:rPr>
      <w:color w:val="1F6FB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Index &amp; Reading Guide</dc:title>
  <dc:creator>Equator Resolution</dc:creator>
  <cp:lastModifiedBy>Un-named</cp:lastModifiedBy>
  <cp:revision>1</cp:revision>
  <dcterms:created xsi:type="dcterms:W3CDTF">2026-06-26T09:43:38.391Z</dcterms:created>
  <dcterms:modified xsi:type="dcterms:W3CDTF">2026-06-26T09:43:38.392Z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