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30"/>
        <w:jc w:val="center"/>
      </w:pPr>
      <w:r>
        <w:rPr>
          <w:b/>
          <w:bCs/>
          <w:color w:val="0B2A4A"/>
          <w:sz w:val="50"/>
          <w:szCs w:val="50"/>
        </w:rPr>
        <w:t xml:space="preserve">EQUATOR RESOLUTION</w:t>
      </w:r>
    </w:p>
    <w:p>
      <w:pPr>
        <w:pBdr>
          <w:bottom w:val="single" w:color="0E7C7B" w:sz="12" w:space="6"/>
        </w:pBdr>
        <w:spacing w:after="200"/>
        <w:jc w:val="center"/>
      </w:pPr>
      <w:r>
        <w:rPr>
          <w:sz w:val="2"/>
          <w:szCs w:val="2"/>
        </w:rPr>
        <w:t xml:space="preserve"/>
      </w:r>
    </w:p>
    <w:p>
      <w:pPr>
        <w:spacing w:after="24"/>
        <w:jc w:val="center"/>
      </w:pPr>
      <w:r>
        <w:rPr>
          <w:b/>
          <w:bCs/>
          <w:color w:val="1F2937"/>
          <w:sz w:val="38"/>
          <w:szCs w:val="38"/>
        </w:rPr>
        <w:t xml:space="preserve">Architecture Diagrams — Editable Edition</w:t>
      </w:r>
    </w:p>
    <w:p>
      <w:pPr>
        <w:spacing w:after="24"/>
        <w:jc w:val="center"/>
      </w:pPr>
      <w:r>
        <w:rPr>
          <w:color w:val="6B7280"/>
          <w:sz w:val="20"/>
          <w:szCs w:val="20"/>
        </w:rPr>
        <w:t xml:space="preserve">Native Word shapes &amp; tables — every box and label can be copied and edited</w:t>
      </w:r>
    </w:p>
    <w:p>
      <w:pPr>
        <w:spacing w:after="400"/>
        <w:jc w:val="center"/>
      </w:pPr>
      <w:r>
        <w:rPr>
          <w:color w:val="1F6FB2"/>
          <w:sz w:val="18"/>
          <w:szCs w:val="18"/>
        </w:rPr>
        <w:t xml:space="preserve">Online Dispute Resolution Platform  ·  v1.0  ·  June 2026  ·  Confidential</w:t>
      </w:r>
    </w:p>
    <w:p>
      <w:pPr>
        <w:jc w:val="center"/>
      </w:pPr>
      <w:r>
        <w:rPr>
          <w:i/>
          <w:iCs/>
          <w:color w:val="6B7280"/>
          <w:sz w:val="16"/>
          <w:szCs w:val="16"/>
        </w:rPr>
        <w:t xml:space="preserve">How to edit: click any box to change its text; right-click a cell → Borders and Shading to recolour; select a row to add/remove boxes.</w:t>
      </w:r>
    </w:p>
    <w:p>
      <w:r>
        <w:br w:type="page"/>
      </w:r>
    </w:p>
    <w:p>
      <w:pPr>
        <w:pStyle w:val="Heading1"/>
      </w:pPr>
      <w:r>
        <w:t xml:space="preserve">1. System Context</w:t>
      </w:r>
    </w:p>
    <w:p>
      <w:pPr>
        <w:spacing w:after="160" w:line="264"/>
      </w:pPr>
      <w:r>
        <w:rPr>
          <w:i/>
          <w:iCs/>
          <w:color w:val="6B7280"/>
          <w:sz w:val="18"/>
          <w:szCs w:val="18"/>
        </w:rPr>
        <w:t xml:space="preserve">Who uses Equator (demand left, supply right) and the external services it orchestrates (bottom). Two company pathways — external disputes and internal grievance — share one core.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"/>
        <w:gridCol w:w="2300"/>
        <w:gridCol w:w="300"/>
        <w:gridCol w:w="2300"/>
        <w:gridCol w:w="300"/>
        <w:gridCol w:w="2300"/>
        <w:gridCol w:w="300"/>
        <w:gridCol w:w="230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color w:val="EAF2F8"/>
                <w:sz w:val="22"/>
                <w:szCs w:val="22"/>
              </w:rPr>
              <w:t xml:space="preserve">■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160"/>
            </w:tcMar>
            <w:vAlign w:val="center"/>
          </w:tcPr>
          <w:p>
            <w:r>
              <w:rPr>
                <w:color w:val="6B7280"/>
                <w:sz w:val="15"/>
                <w:szCs w:val="15"/>
              </w:rPr>
              <w:t xml:space="preserve">Demand (parties)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color w:val="E3F1F0"/>
                <w:sz w:val="22"/>
                <w:szCs w:val="22"/>
              </w:rPr>
              <w:t xml:space="preserve">■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160"/>
            </w:tcMar>
            <w:vAlign w:val="center"/>
          </w:tcPr>
          <w:p>
            <w:r>
              <w:rPr>
                <w:color w:val="6B7280"/>
                <w:sz w:val="15"/>
                <w:szCs w:val="15"/>
              </w:rPr>
              <w:t xml:space="preserve">Supply (neutrals/ops)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color w:val="0B2A4A"/>
                <w:sz w:val="22"/>
                <w:szCs w:val="22"/>
              </w:rPr>
              <w:t xml:space="preserve">■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160"/>
            </w:tcMar>
            <w:vAlign w:val="center"/>
          </w:tcPr>
          <w:p>
            <w:r>
              <w:rPr>
                <w:color w:val="6B7280"/>
                <w:sz w:val="15"/>
                <w:szCs w:val="15"/>
              </w:rPr>
              <w:t xml:space="preserve">Equator platform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color w:val="F3F4F6"/>
                <w:sz w:val="22"/>
                <w:szCs w:val="22"/>
              </w:rPr>
              <w:t xml:space="preserve">■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160"/>
            </w:tcMar>
            <w:vAlign w:val="center"/>
          </w:tcPr>
          <w:p>
            <w:r>
              <w:rPr>
                <w:color w:val="6B7280"/>
                <w:sz w:val="15"/>
                <w:szCs w:val="15"/>
              </w:rPr>
              <w:t xml:space="preserve">External services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280"/>
        <w:gridCol w:w="4200"/>
      </w:tblGrid>
      <w:tr>
        <w:tc>
          <w:tcPr>
            <w:tcW w:type="dxa" w:w="420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EAF2F8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Families / Marital parties</w:t>
            </w:r>
          </w:p>
        </w:tc>
        <w:tc>
          <w:tcPr>
            <w:tcW w:type="dxa" w:w="5280"/>
            <w:gridSpan w:val="1"/>
            <w:vMerge w:val="restart"/>
            <w:tcBorders>
              <w:top w:val="single" w:color="0B2A4A" w:sz="8"/>
              <w:left w:val="single" w:color="0B2A4A" w:sz="8"/>
              <w:bottom w:val="single" w:color="0B2A4A" w:sz="8"/>
              <w:right w:val="single" w:color="0B2A4A" w:sz="8"/>
            </w:tcBorders>
            <w:shd w:fill="0B2A4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EQUATOR RESOLUTION</w:t>
            </w:r>
          </w:p>
          <w:p>
            <w:pPr>
              <w:spacing w:after="30" w:line="2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7E3EE"/>
                <w:sz w:val="14"/>
                <w:szCs w:val="14"/>
              </w:rPr>
              <w:t xml:space="preserve">ODR Platform &amp; Institution (EDRS)</w:t>
            </w:r>
          </w:p>
          <w:p>
            <w:pPr>
              <w:spacing w:after="30" w:line="2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7E3EE"/>
                <w:sz w:val="13"/>
                <w:szCs w:val="13"/>
              </w:rPr>
              <w:t xml:space="preserve">Multi-tenant · API-first · Config-driven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7E3EE"/>
                <w:sz w:val="13"/>
                <w:szCs w:val="13"/>
              </w:rPr>
              <w:t xml:space="preserve">India-first · Global-ready</w:t>
            </w:r>
          </w:p>
        </w:tc>
        <w:tc>
          <w:tcPr>
            <w:tcW w:type="dxa" w:w="420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Arbitrators</w:t>
            </w:r>
          </w:p>
        </w:tc>
      </w:tr>
      <w:tr>
        <w:tc>
          <w:tcPr>
            <w:tcW w:type="dxa" w:w="420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EAF2F8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NBFCs &amp; Borrowers</w:t>
            </w:r>
          </w:p>
        </w:tc>
        <w:tc>
          <w:tcPr>
            <w:gridSpan w:val="1"/>
            <w:vMerge w:val="continue"/>
            <w:tcBorders>
              <w:top w:val="single" w:color="0B2A4A" w:sz="8"/>
              <w:left w:val="single" w:color="0B2A4A" w:sz="8"/>
              <w:bottom w:val="single" w:color="0B2A4A" w:sz="8"/>
              <w:right w:val="single" w:color="0B2A4A" w:sz="8"/>
            </w:tcBorders>
          </w:tcPr>
          <w:p/>
        </w:tc>
        <w:tc>
          <w:tcPr>
            <w:tcW w:type="dxa" w:w="420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Mediators / Conciliators</w:t>
            </w:r>
          </w:p>
        </w:tc>
      </w:tr>
      <w:tr>
        <w:tc>
          <w:tcPr>
            <w:tcW w:type="dxa" w:w="420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EAF2F8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Companies (commercial)</w:t>
            </w:r>
          </w:p>
        </w:tc>
        <w:tc>
          <w:tcPr>
            <w:gridSpan w:val="1"/>
            <w:vMerge w:val="continue"/>
            <w:tcBorders>
              <w:top w:val="single" w:color="0B2A4A" w:sz="8"/>
              <w:left w:val="single" w:color="0B2A4A" w:sz="8"/>
              <w:bottom w:val="single" w:color="0B2A4A" w:sz="8"/>
              <w:right w:val="single" w:color="0B2A4A" w:sz="8"/>
            </w:tcBorders>
          </w:tcPr>
          <w:p/>
        </w:tc>
        <w:tc>
          <w:tcPr>
            <w:tcW w:type="dxa" w:w="420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Case Managers</w:t>
            </w:r>
          </w:p>
        </w:tc>
      </w:tr>
      <w:tr>
        <w:tc>
          <w:tcPr>
            <w:tcW w:type="dxa" w:w="420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EAF2F8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Employees / Staff (grievance &amp; POSH)</w:t>
            </w:r>
          </w:p>
        </w:tc>
        <w:tc>
          <w:tcPr>
            <w:gridSpan w:val="1"/>
            <w:vMerge w:val="continue"/>
            <w:tcBorders>
              <w:top w:val="single" w:color="0B2A4A" w:sz="8"/>
              <w:left w:val="single" w:color="0B2A4A" w:sz="8"/>
              <w:bottom w:val="single" w:color="0B2A4A" w:sz="8"/>
              <w:right w:val="single" w:color="0B2A4A" w:sz="8"/>
            </w:tcBorders>
          </w:tcPr>
          <w:p/>
        </w:tc>
        <w:tc>
          <w:tcPr>
            <w:tcW w:type="dxa" w:w="420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Private Courts (self-managed)</w:t>
            </w:r>
          </w:p>
        </w:tc>
      </w:tr>
      <w:tr>
        <w:tc>
          <w:tcPr>
            <w:tcW w:type="dxa" w:w="420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EAF2F8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Counsel / Representatives</w:t>
            </w:r>
          </w:p>
        </w:tc>
        <w:tc>
          <w:tcPr>
            <w:gridSpan w:val="1"/>
            <w:vMerge w:val="continue"/>
            <w:tcBorders>
              <w:top w:val="single" w:color="0B2A4A" w:sz="8"/>
              <w:left w:val="single" w:color="0B2A4A" w:sz="8"/>
              <w:bottom w:val="single" w:color="0B2A4A" w:sz="8"/>
              <w:right w:val="single" w:color="0B2A4A" w:sz="8"/>
            </w:tcBorders>
          </w:tcPr>
          <w:p/>
        </w:tc>
        <w:tc>
          <w:tcPr>
            <w:tcW w:type="dxa" w:w="420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Academy learners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  <w:jc w:val="center"/>
      </w:pPr>
      <w:r>
        <w:rPr>
          <w:b/>
          <w:bCs/>
          <w:color w:val="6B7280"/>
          <w:sz w:val="16"/>
          <w:szCs w:val="16"/>
        </w:rPr>
        <w:t xml:space="preserve">▼  connects to external services  ▼</w:t>
      </w:r>
    </w:p>
    <w:tbl>
      <w:tblPr>
        <w:tblW w:type="dxa" w:w="13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70"/>
        <w:gridCol w:w="2670"/>
        <w:gridCol w:w="2670"/>
        <w:gridCol w:w="2670"/>
        <w:gridCol w:w="2670"/>
      </w:tblGrid>
      <w:tr>
        <w:tc>
          <w:tcPr>
            <w:tcW w:type="dxa" w:w="2670"/>
            <w:gridSpan w:val="1"/>
            <w:tcBorders>
              <w:top w:val="single" w:color="9CA3AF" w:sz="8"/>
              <w:left w:val="single" w:color="9CA3AF" w:sz="8"/>
              <w:bottom w:val="single" w:color="9CA3AF" w:sz="8"/>
              <w:right w:val="single" w:color="9CA3AF" w:sz="8"/>
            </w:tcBorders>
            <w:shd w:fill="F3F4F6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KYC / KYB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Aadhaar · DigiLocker</w:t>
            </w:r>
          </w:p>
        </w:tc>
        <w:tc>
          <w:tcPr>
            <w:tcW w:type="dxa" w:w="2670"/>
            <w:gridSpan w:val="1"/>
            <w:tcBorders>
              <w:top w:val="single" w:color="9CA3AF" w:sz="8"/>
              <w:left w:val="single" w:color="9CA3AF" w:sz="8"/>
              <w:bottom w:val="single" w:color="9CA3AF" w:sz="8"/>
              <w:right w:val="single" w:color="9CA3AF" w:sz="8"/>
            </w:tcBorders>
            <w:shd w:fill="F3F4F6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e-Sign / e-Stamp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eMudhra · SHCIL</w:t>
            </w:r>
          </w:p>
        </w:tc>
        <w:tc>
          <w:tcPr>
            <w:tcW w:type="dxa" w:w="2670"/>
            <w:gridSpan w:val="1"/>
            <w:tcBorders>
              <w:top w:val="single" w:color="9CA3AF" w:sz="8"/>
              <w:left w:val="single" w:color="9CA3AF" w:sz="8"/>
              <w:bottom w:val="single" w:color="9CA3AF" w:sz="8"/>
              <w:right w:val="single" w:color="9CA3AF" w:sz="8"/>
            </w:tcBorders>
            <w:shd w:fill="F3F4F6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Payments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UPI · Cards · Escrow</w:t>
            </w:r>
          </w:p>
        </w:tc>
        <w:tc>
          <w:tcPr>
            <w:tcW w:type="dxa" w:w="2670"/>
            <w:gridSpan w:val="1"/>
            <w:tcBorders>
              <w:top w:val="single" w:color="9CA3AF" w:sz="8"/>
              <w:left w:val="single" w:color="9CA3AF" w:sz="8"/>
              <w:bottom w:val="single" w:color="9CA3AF" w:sz="8"/>
              <w:right w:val="single" w:color="9CA3AF" w:sz="8"/>
            </w:tcBorders>
            <w:shd w:fill="F3F4F6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Video / Comms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WebRTC · WhatsApp</w:t>
            </w:r>
          </w:p>
        </w:tc>
        <w:tc>
          <w:tcPr>
            <w:tcW w:type="dxa" w:w="2670"/>
            <w:gridSpan w:val="1"/>
            <w:tcBorders>
              <w:top w:val="single" w:color="9CA3AF" w:sz="8"/>
              <w:left w:val="single" w:color="9CA3AF" w:sz="8"/>
              <w:bottom w:val="single" w:color="9CA3AF" w:sz="8"/>
              <w:right w:val="single" w:color="9CA3AF" w:sz="8"/>
            </w:tcBorders>
            <w:shd w:fill="F3F4F6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Regulator / Gov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SEBI · RBI · SHe-Box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Layered Architecture</w:t>
      </w:r>
    </w:p>
    <w:p>
      <w:pPr>
        <w:spacing w:after="160" w:line="264"/>
      </w:pPr>
      <w:r>
        <w:rPr>
          <w:i/>
          <w:iCs/>
          <w:color w:val="6B7280"/>
          <w:sz w:val="18"/>
          <w:szCs w:val="18"/>
        </w:rPr>
        <w:t xml:space="preserve">From channels (top) down to data (bottom): a thin channel layer over an API gateway, fronting domain services, on shared platform services and a configuration plane. Read top to bottom.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1080"/>
      </w:tblGrid>
      <w:tr>
        <w:tc>
          <w:tcPr>
            <w:tcW w:type="dxa" w:w="2600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1F6F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CHANNELS</w:t>
            </w:r>
          </w:p>
        </w:tc>
        <w:tc>
          <w:tcPr>
            <w:tcW w:type="dxa" w:w="1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center"/>
          </w:tcPr>
          <w:tbl>
            <w:tblPr>
              <w:tblW w:type="dxa" w:w="1107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846"/>
              <w:gridCol w:w="1846"/>
              <w:gridCol w:w="1846"/>
              <w:gridCol w:w="1846"/>
              <w:gridCol w:w="1846"/>
              <w:gridCol w:w="1846"/>
            </w:tblGrid>
            <w:tr>
              <w:tc>
                <w:tcPr>
                  <w:tcW w:type="dxa" w:w="1846"/>
                  <w:gridSpan w:val="1"/>
                  <w:tcBorders>
                    <w:top w:val="single" w:color="1F6FB2" w:sz="8"/>
                    <w:left w:val="single" w:color="1F6FB2" w:sz="8"/>
                    <w:bottom w:val="single" w:color="1F6FB2" w:sz="8"/>
                    <w:right w:val="single" w:color="1F6FB2" w:sz="8"/>
                  </w:tcBorders>
                  <w:shd w:fill="EAF2F8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Party Portal</w:t>
                  </w:r>
                </w:p>
              </w:tc>
              <w:tc>
                <w:tcPr>
                  <w:tcW w:type="dxa" w:w="1846"/>
                  <w:gridSpan w:val="1"/>
                  <w:tcBorders>
                    <w:top w:val="single" w:color="1F6FB2" w:sz="8"/>
                    <w:left w:val="single" w:color="1F6FB2" w:sz="8"/>
                    <w:bottom w:val="single" w:color="1F6FB2" w:sz="8"/>
                    <w:right w:val="single" w:color="1F6FB2" w:sz="8"/>
                  </w:tcBorders>
                  <w:shd w:fill="EAF2F8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Neutral Workspace</w:t>
                  </w:r>
                </w:p>
              </w:tc>
              <w:tc>
                <w:tcPr>
                  <w:tcW w:type="dxa" w:w="1846"/>
                  <w:gridSpan w:val="1"/>
                  <w:tcBorders>
                    <w:top w:val="single" w:color="1F6FB2" w:sz="8"/>
                    <w:left w:val="single" w:color="1F6FB2" w:sz="8"/>
                    <w:bottom w:val="single" w:color="1F6FB2" w:sz="8"/>
                    <w:right w:val="single" w:color="1F6FB2" w:sz="8"/>
                  </w:tcBorders>
                  <w:shd w:fill="EAF2F8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Case Mgr Console</w:t>
                  </w:r>
                </w:p>
              </w:tc>
              <w:tc>
                <w:tcPr>
                  <w:tcW w:type="dxa" w:w="1846"/>
                  <w:gridSpan w:val="1"/>
                  <w:tcBorders>
                    <w:top w:val="single" w:color="1F6FB2" w:sz="8"/>
                    <w:left w:val="single" w:color="1F6FB2" w:sz="8"/>
                    <w:bottom w:val="single" w:color="1F6FB2" w:sz="8"/>
                    <w:right w:val="single" w:color="1F6FB2" w:sz="8"/>
                  </w:tcBorders>
                  <w:shd w:fill="EAF2F8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Enterprise Admin</w:t>
                  </w:r>
                </w:p>
              </w:tc>
              <w:tc>
                <w:tcPr>
                  <w:tcW w:type="dxa" w:w="1846"/>
                  <w:gridSpan w:val="1"/>
                  <w:tcBorders>
                    <w:top w:val="single" w:color="1F6FB2" w:sz="8"/>
                    <w:left w:val="single" w:color="1F6FB2" w:sz="8"/>
                    <w:bottom w:val="single" w:color="1F6FB2" w:sz="8"/>
                    <w:right w:val="single" w:color="1F6FB2" w:sz="8"/>
                  </w:tcBorders>
                  <w:shd w:fill="EAF2F8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Academy LMS</w:t>
                  </w:r>
                </w:p>
              </w:tc>
              <w:tc>
                <w:tcPr>
                  <w:tcW w:type="dxa" w:w="1846"/>
                  <w:gridSpan w:val="1"/>
                  <w:tcBorders>
                    <w:top w:val="single" w:color="1F6FB2" w:sz="8"/>
                    <w:left w:val="single" w:color="1F6FB2" w:sz="8"/>
                    <w:bottom w:val="single" w:color="1F6FB2" w:sz="8"/>
                    <w:right w:val="single" w:color="1F6FB2" w:sz="8"/>
                  </w:tcBorders>
                  <w:shd w:fill="EAF2F8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Mobile · API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13680"/>
            <w:gridSpan w:val="2"/>
            <w:tcBorders>
              <w:top w:val="single" w:color="0B2A4A" w:sz="8"/>
              <w:left w:val="single" w:color="0B2A4A" w:sz="8"/>
              <w:bottom w:val="single" w:color="0B2A4A" w:sz="8"/>
              <w:right w:val="single" w:color="0B2A4A" w:sz="8"/>
            </w:tcBorders>
            <w:shd w:fill="0B2A4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API GATEWAY  ·  AuthN/Z  ·  Rate limiting  ·  Schema validation  ·  Routing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0E7C7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DOMAIN SERVICES</w:t>
            </w:r>
          </w:p>
        </w:tc>
        <w:tc>
          <w:tcPr>
            <w:tcW w:type="dxa" w:w="1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center"/>
          </w:tcPr>
          <w:tbl>
            <w:tblPr>
              <w:tblW w:type="dxa" w:w="1107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846"/>
              <w:gridCol w:w="1846"/>
              <w:gridCol w:w="1846"/>
              <w:gridCol w:w="1846"/>
              <w:gridCol w:w="1846"/>
              <w:gridCol w:w="1846"/>
            </w:tblGrid>
            <w:tr>
              <w:tc>
                <w:tcPr>
                  <w:tcW w:type="dxa" w:w="1846"/>
                  <w:gridSpan w:val="1"/>
                  <w:tcBorders>
                    <w:top w:val="single" w:color="0E7C7B" w:sz="8"/>
                    <w:left w:val="single" w:color="0E7C7B" w:sz="8"/>
                    <w:bottom w:val="single" w:color="0E7C7B" w:sz="8"/>
                    <w:right w:val="single" w:color="0E7C7B" w:sz="8"/>
                  </w:tcBorders>
                  <w:shd w:fill="E3F1F0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Intake</w:t>
                  </w:r>
                </w:p>
              </w:tc>
              <w:tc>
                <w:tcPr>
                  <w:tcW w:type="dxa" w:w="1846"/>
                  <w:gridSpan w:val="1"/>
                  <w:tcBorders>
                    <w:top w:val="single" w:color="0E7C7B" w:sz="8"/>
                    <w:left w:val="single" w:color="0E7C7B" w:sz="8"/>
                    <w:bottom w:val="single" w:color="0E7C7B" w:sz="8"/>
                    <w:right w:val="single" w:color="0E7C7B" w:sz="8"/>
                  </w:tcBorders>
                  <w:shd w:fill="E3F1F0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Case Core</w:t>
                  </w:r>
                </w:p>
              </w:tc>
              <w:tc>
                <w:tcPr>
                  <w:tcW w:type="dxa" w:w="1846"/>
                  <w:gridSpan w:val="1"/>
                  <w:tcBorders>
                    <w:top w:val="single" w:color="0E7C7B" w:sz="8"/>
                    <w:left w:val="single" w:color="0E7C7B" w:sz="8"/>
                    <w:bottom w:val="single" w:color="0E7C7B" w:sz="8"/>
                    <w:right w:val="single" w:color="0E7C7B" w:sz="8"/>
                  </w:tcBorders>
                  <w:shd w:fill="E3F1F0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Allocation</w:t>
                  </w:r>
                </w:p>
              </w:tc>
              <w:tc>
                <w:tcPr>
                  <w:tcW w:type="dxa" w:w="1846"/>
                  <w:gridSpan w:val="1"/>
                  <w:tcBorders>
                    <w:top w:val="single" w:color="0E7C7B" w:sz="8"/>
                    <w:left w:val="single" w:color="0E7C7B" w:sz="8"/>
                    <w:bottom w:val="single" w:color="0E7C7B" w:sz="8"/>
                    <w:right w:val="single" w:color="0E7C7B" w:sz="8"/>
                  </w:tcBorders>
                  <w:shd w:fill="E3F1F0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Hearings</w:t>
                  </w:r>
                </w:p>
              </w:tc>
              <w:tc>
                <w:tcPr>
                  <w:tcW w:type="dxa" w:w="1846"/>
                  <w:gridSpan w:val="1"/>
                  <w:tcBorders>
                    <w:top w:val="single" w:color="0E7C7B" w:sz="8"/>
                    <w:left w:val="single" w:color="0E7C7B" w:sz="8"/>
                    <w:bottom w:val="single" w:color="0E7C7B" w:sz="8"/>
                    <w:right w:val="single" w:color="0E7C7B" w:sz="8"/>
                  </w:tcBorders>
                  <w:shd w:fill="E3F1F0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Documents</w:t>
                  </w:r>
                </w:p>
              </w:tc>
              <w:tc>
                <w:tcPr>
                  <w:tcW w:type="dxa" w:w="1846"/>
                  <w:gridSpan w:val="1"/>
                  <w:tcBorders>
                    <w:top w:val="single" w:color="0E7C7B" w:sz="8"/>
                    <w:left w:val="single" w:color="0E7C7B" w:sz="8"/>
                    <w:bottom w:val="single" w:color="0E7C7B" w:sz="8"/>
                    <w:right w:val="single" w:color="0E7C7B" w:sz="8"/>
                  </w:tcBorders>
                  <w:shd w:fill="E3F1F0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Mediation</w:t>
                  </w:r>
                </w:p>
              </w:tc>
            </w:tr>
          </w:tbl>
          <w:p/>
        </w:tc>
      </w:tr>
      <w:tr>
        <w:tc>
          <w:tcPr>
            <w:tcW w:type="dxa" w:w="2600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0E7C7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(case lifecycle)</w:t>
            </w:r>
          </w:p>
        </w:tc>
        <w:tc>
          <w:tcPr>
            <w:tcW w:type="dxa" w:w="1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center"/>
          </w:tcPr>
          <w:tbl>
            <w:tblPr>
              <w:tblW w:type="dxa" w:w="1107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846"/>
              <w:gridCol w:w="1846"/>
              <w:gridCol w:w="1846"/>
              <w:gridCol w:w="1846"/>
              <w:gridCol w:w="1846"/>
              <w:gridCol w:w="1846"/>
            </w:tblGrid>
            <w:tr>
              <w:tc>
                <w:tcPr>
                  <w:tcW w:type="dxa" w:w="1846"/>
                  <w:gridSpan w:val="1"/>
                  <w:tcBorders>
                    <w:top w:val="single" w:color="0E7C7B" w:sz="8"/>
                    <w:left w:val="single" w:color="0E7C7B" w:sz="8"/>
                    <w:bottom w:val="single" w:color="0E7C7B" w:sz="8"/>
                    <w:right w:val="single" w:color="0E7C7B" w:sz="8"/>
                  </w:tcBorders>
                  <w:shd w:fill="E3F1F0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Arbitration</w:t>
                  </w:r>
                </w:p>
              </w:tc>
              <w:tc>
                <w:tcPr>
                  <w:tcW w:type="dxa" w:w="1846"/>
                  <w:gridSpan w:val="1"/>
                  <w:tcBorders>
                    <w:top w:val="single" w:color="0E7C7B" w:sz="8"/>
                    <w:left w:val="single" w:color="0E7C7B" w:sz="8"/>
                    <w:bottom w:val="single" w:color="0E7C7B" w:sz="8"/>
                    <w:right w:val="single" w:color="0E7C7B" w:sz="8"/>
                  </w:tcBorders>
                  <w:shd w:fill="E3F1F0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Conciliation</w:t>
                  </w:r>
                </w:p>
              </w:tc>
              <w:tc>
                <w:tcPr>
                  <w:tcW w:type="dxa" w:w="1846"/>
                  <w:gridSpan w:val="1"/>
                  <w:tcBorders>
                    <w:top w:val="single" w:color="0E7C7B" w:sz="8"/>
                    <w:left w:val="single" w:color="0E7C7B" w:sz="8"/>
                    <w:bottom w:val="single" w:color="0E7C7B" w:sz="8"/>
                    <w:right w:val="single" w:color="0E7C7B" w:sz="8"/>
                  </w:tcBorders>
                  <w:shd w:fill="E3F1F0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Grievance &amp; POSH</w:t>
                  </w:r>
                </w:p>
              </w:tc>
              <w:tc>
                <w:tcPr>
                  <w:tcW w:type="dxa" w:w="1846"/>
                  <w:gridSpan w:val="1"/>
                  <w:tcBorders>
                    <w:top w:val="single" w:color="0E7C7B" w:sz="8"/>
                    <w:left w:val="single" w:color="0E7C7B" w:sz="8"/>
                    <w:bottom w:val="single" w:color="0E7C7B" w:sz="8"/>
                    <w:right w:val="single" w:color="0E7C7B" w:sz="8"/>
                  </w:tcBorders>
                  <w:shd w:fill="E3F1F0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e-Sign / Stamp</w:t>
                  </w:r>
                </w:p>
              </w:tc>
              <w:tc>
                <w:tcPr>
                  <w:tcW w:type="dxa" w:w="1846"/>
                  <w:gridSpan w:val="1"/>
                  <w:tcBorders>
                    <w:top w:val="single" w:color="0E7C7B" w:sz="8"/>
                    <w:left w:val="single" w:color="0E7C7B" w:sz="8"/>
                    <w:bottom w:val="single" w:color="0E7C7B" w:sz="8"/>
                    <w:right w:val="single" w:color="0E7C7B" w:sz="8"/>
                  </w:tcBorders>
                  <w:shd w:fill="E3F1F0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Billing</w:t>
                  </w:r>
                </w:p>
              </w:tc>
              <w:tc>
                <w:tcPr>
                  <w:tcW w:type="dxa" w:w="1846"/>
                  <w:gridSpan w:val="1"/>
                  <w:tcBorders>
                    <w:top w:val="single" w:color="0E7C7B" w:sz="8"/>
                    <w:left w:val="single" w:color="0E7C7B" w:sz="8"/>
                    <w:bottom w:val="single" w:color="0E7C7B" w:sz="8"/>
                    <w:right w:val="single" w:color="0E7C7B" w:sz="8"/>
                  </w:tcBorders>
                  <w:shd w:fill="E3F1F0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Notify · AI · Audit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1F6FB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PLATFORM SERVICES</w:t>
            </w:r>
          </w:p>
        </w:tc>
        <w:tc>
          <w:tcPr>
            <w:tcW w:type="dxa" w:w="1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center"/>
          </w:tcPr>
          <w:tbl>
            <w:tblPr>
              <w:tblW w:type="dxa" w:w="1107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846"/>
              <w:gridCol w:w="1846"/>
              <w:gridCol w:w="1846"/>
              <w:gridCol w:w="1846"/>
              <w:gridCol w:w="1846"/>
              <w:gridCol w:w="1846"/>
            </w:tblGrid>
            <w:tr>
              <w:tc>
                <w:tcPr>
                  <w:tcW w:type="dxa" w:w="1846"/>
                  <w:gridSpan w:val="1"/>
                  <w:tcBorders>
                    <w:top w:val="single" w:color="1F6FB2" w:sz="8"/>
                    <w:left w:val="single" w:color="1F6FB2" w:sz="8"/>
                    <w:bottom w:val="single" w:color="1F6FB2" w:sz="8"/>
                    <w:right w:val="single" w:color="1F6FB2" w:sz="8"/>
                  </w:tcBorders>
                  <w:shd w:fill="EAF2F8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Identity &amp; Access</w:t>
                  </w:r>
                </w:p>
              </w:tc>
              <w:tc>
                <w:tcPr>
                  <w:tcW w:type="dxa" w:w="1846"/>
                  <w:gridSpan w:val="1"/>
                  <w:tcBorders>
                    <w:top w:val="single" w:color="1F6FB2" w:sz="8"/>
                    <w:left w:val="single" w:color="1F6FB2" w:sz="8"/>
                    <w:bottom w:val="single" w:color="1F6FB2" w:sz="8"/>
                    <w:right w:val="single" w:color="1F6FB2" w:sz="8"/>
                  </w:tcBorders>
                  <w:shd w:fill="EAF2F8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Event Bus</w:t>
                  </w:r>
                </w:p>
              </w:tc>
              <w:tc>
                <w:tcPr>
                  <w:tcW w:type="dxa" w:w="1846"/>
                  <w:gridSpan w:val="1"/>
                  <w:tcBorders>
                    <w:top w:val="single" w:color="1F6FB2" w:sz="8"/>
                    <w:left w:val="single" w:color="1F6FB2" w:sz="8"/>
                    <w:bottom w:val="single" w:color="1F6FB2" w:sz="8"/>
                    <w:right w:val="single" w:color="1F6FB2" w:sz="8"/>
                  </w:tcBorders>
                  <w:shd w:fill="EAF2F8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Search</w:t>
                  </w:r>
                </w:p>
              </w:tc>
              <w:tc>
                <w:tcPr>
                  <w:tcW w:type="dxa" w:w="1846"/>
                  <w:gridSpan w:val="1"/>
                  <w:tcBorders>
                    <w:top w:val="single" w:color="1F6FB2" w:sz="8"/>
                    <w:left w:val="single" w:color="1F6FB2" w:sz="8"/>
                    <w:bottom w:val="single" w:color="1F6FB2" w:sz="8"/>
                    <w:right w:val="single" w:color="1F6FB2" w:sz="8"/>
                  </w:tcBorders>
                  <w:shd w:fill="EAF2F8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Cache</w:t>
                  </w:r>
                </w:p>
              </w:tc>
              <w:tc>
                <w:tcPr>
                  <w:tcW w:type="dxa" w:w="1846"/>
                  <w:gridSpan w:val="1"/>
                  <w:tcBorders>
                    <w:top w:val="single" w:color="1F6FB2" w:sz="8"/>
                    <w:left w:val="single" w:color="1F6FB2" w:sz="8"/>
                    <w:bottom w:val="single" w:color="1F6FB2" w:sz="8"/>
                    <w:right w:val="single" w:color="1F6FB2" w:sz="8"/>
                  </w:tcBorders>
                  <w:shd w:fill="EAF2F8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Secrets / KMS</w:t>
                  </w:r>
                </w:p>
              </w:tc>
              <w:tc>
                <w:tcPr>
                  <w:tcW w:type="dxa" w:w="1846"/>
                  <w:gridSpan w:val="1"/>
                  <w:tcBorders>
                    <w:top w:val="single" w:color="1F6FB2" w:sz="8"/>
                    <w:left w:val="single" w:color="1F6FB2" w:sz="8"/>
                    <w:bottom w:val="single" w:color="1F6FB2" w:sz="8"/>
                    <w:right w:val="single" w:color="1F6FB2" w:sz="8"/>
                  </w:tcBorders>
                  <w:shd w:fill="EAF2F8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Object Storage / CDN</w:t>
                  </w:r>
                </w:p>
              </w:tc>
            </w:tr>
          </w:tbl>
          <w:p/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B4530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CONFIG + DATA</w:t>
            </w:r>
          </w:p>
        </w:tc>
        <w:tc>
          <w:tcPr>
            <w:tcW w:type="dxa" w:w="1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center"/>
          </w:tcPr>
          <w:tbl>
            <w:tblPr>
              <w:tblW w:type="dxa" w:w="1107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846"/>
              <w:gridCol w:w="1846"/>
              <w:gridCol w:w="1846"/>
              <w:gridCol w:w="1846"/>
              <w:gridCol w:w="1846"/>
              <w:gridCol w:w="1846"/>
            </w:tblGrid>
            <w:tr>
              <w:tc>
                <w:tcPr>
                  <w:tcW w:type="dxa" w:w="1846"/>
                  <w:gridSpan w:val="1"/>
                  <w:tcBorders>
                    <w:top w:val="single" w:color="B45309" w:sz="8"/>
                    <w:left w:val="single" w:color="B45309" w:sz="8"/>
                    <w:bottom w:val="single" w:color="B45309" w:sz="8"/>
                    <w:right w:val="single" w:color="B45309" w:sz="8"/>
                  </w:tcBorders>
                  <w:shd w:fill="FFF7ED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Rulesets</w:t>
                  </w:r>
                </w:p>
              </w:tc>
              <w:tc>
                <w:tcPr>
                  <w:tcW w:type="dxa" w:w="1846"/>
                  <w:gridSpan w:val="1"/>
                  <w:tcBorders>
                    <w:top w:val="single" w:color="B45309" w:sz="8"/>
                    <w:left w:val="single" w:color="B45309" w:sz="8"/>
                    <w:bottom w:val="single" w:color="B45309" w:sz="8"/>
                    <w:right w:val="single" w:color="B45309" w:sz="8"/>
                  </w:tcBorders>
                  <w:shd w:fill="FFF7ED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Templates &amp; Clauses</w:t>
                  </w:r>
                </w:p>
              </w:tc>
              <w:tc>
                <w:tcPr>
                  <w:tcW w:type="dxa" w:w="1846"/>
                  <w:gridSpan w:val="1"/>
                  <w:tcBorders>
                    <w:top w:val="single" w:color="B45309" w:sz="8"/>
                    <w:left w:val="single" w:color="B45309" w:sz="8"/>
                    <w:bottom w:val="single" w:color="B45309" w:sz="8"/>
                    <w:right w:val="single" w:color="B45309" w:sz="8"/>
                  </w:tcBorders>
                  <w:shd w:fill="FFF7ED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Fee Schedules</w:t>
                  </w:r>
                </w:p>
              </w:tc>
              <w:tc>
                <w:tcPr>
                  <w:tcW w:type="dxa" w:w="1846"/>
                  <w:gridSpan w:val="1"/>
                  <w:tcBorders>
                    <w:top w:val="single" w:color="B45309" w:sz="8"/>
                    <w:left w:val="single" w:color="B45309" w:sz="8"/>
                    <w:bottom w:val="single" w:color="B45309" w:sz="8"/>
                    <w:right w:val="single" w:color="B45309" w:sz="8"/>
                  </w:tcBorders>
                  <w:shd w:fill="FFF7ED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Jurisdictions</w:t>
                  </w:r>
                </w:p>
              </w:tc>
              <w:tc>
                <w:tcPr>
                  <w:tcW w:type="dxa" w:w="1846"/>
                  <w:gridSpan w:val="1"/>
                  <w:tcBorders>
                    <w:top w:val="single" w:color="B45309" w:sz="8"/>
                    <w:left w:val="single" w:color="B45309" w:sz="8"/>
                    <w:bottom w:val="single" w:color="B45309" w:sz="8"/>
                    <w:right w:val="single" w:color="B45309" w:sz="8"/>
                  </w:tcBorders>
                  <w:shd w:fill="FFF7ED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PostgreSQL · Stores</w:t>
                  </w:r>
                </w:p>
              </w:tc>
              <w:tc>
                <w:tcPr>
                  <w:tcW w:type="dxa" w:w="1846"/>
                  <w:gridSpan w:val="1"/>
                  <w:tcBorders>
                    <w:top w:val="single" w:color="B45309" w:sz="8"/>
                    <w:left w:val="single" w:color="B45309" w:sz="8"/>
                    <w:bottom w:val="single" w:color="B45309" w:sz="8"/>
                    <w:right w:val="single" w:color="B45309" w:sz="8"/>
                  </w:tcBorders>
                  <w:shd w:fill="FFF7ED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B2A4A"/>
                      <w:sz w:val="14"/>
                      <w:szCs w:val="14"/>
                    </w:rPr>
                    <w:t xml:space="preserve">Warehouse · Audit</w:t>
                  </w:r>
                </w:p>
              </w:tc>
            </w:tr>
          </w:tbl>
          <w:p/>
        </w:tc>
      </w:tr>
    </w:tbl>
    <w:p>
      <w:pPr>
        <w:spacing w:after="100"/>
      </w:pPr>
      <w:r>
        <w:t xml:space="preserve"/>
      </w:r>
    </w:p>
    <w:p>
      <w:pPr>
        <w:jc w:val="center"/>
      </w:pPr>
      <w:r>
        <w:rPr>
          <w:i/>
          <w:iCs/>
          <w:color w:val="0E7C7B"/>
          <w:sz w:val="16"/>
          <w:szCs w:val="16"/>
        </w:rPr>
        <w:t xml:space="preserve">Configuration over code: timelines, panels, fees, templates and pathways are data — new regulations and new countries are configuration, not re-builds.</w:t>
      </w:r>
    </w:p>
    <w:p>
      <w:r>
        <w:br w:type="page"/>
      </w:r>
    </w:p>
    <w:p>
      <w:pPr>
        <w:pStyle w:val="Heading1"/>
      </w:pPr>
      <w:r>
        <w:t xml:space="preserve">3. Microservices &amp; Event Flow</w:t>
      </w:r>
    </w:p>
    <w:p>
      <w:pPr>
        <w:spacing w:after="160" w:line="264"/>
      </w:pPr>
      <w:r>
        <w:rPr>
          <w:i/>
          <w:iCs/>
          <w:color w:val="6B7280"/>
          <w:sz w:val="18"/>
          <w:szCs w:val="18"/>
        </w:rPr>
        <w:t xml:space="preserve">Each service owns its data and communicates via the event bus. The audit service is a pure consumer of every event. A representative slice is shown.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intake-svc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2"/>
                <w:szCs w:val="12"/>
              </w:rPr>
              <w:t xml:space="preserve">CaseFiled</w:t>
            </w:r>
          </w:p>
        </w:tc>
        <w:tc>
          <w:tcPr>
            <w:tcW w:type="dxa" w:w="228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case-svc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2"/>
                <w:szCs w:val="12"/>
              </w:rPr>
              <w:t xml:space="preserve">StateChanged</w:t>
            </w:r>
          </w:p>
        </w:tc>
        <w:tc>
          <w:tcPr>
            <w:tcW w:type="dxa" w:w="228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allocation-svc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2"/>
                <w:szCs w:val="12"/>
              </w:rPr>
              <w:t xml:space="preserve">NeutralAppointed</w:t>
            </w:r>
          </w:p>
        </w:tc>
        <w:tc>
          <w:tcPr>
            <w:tcW w:type="dxa" w:w="228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hearing-svc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2"/>
                <w:szCs w:val="12"/>
              </w:rPr>
              <w:t xml:space="preserve">HearingHeld</w:t>
            </w:r>
          </w:p>
        </w:tc>
        <w:tc>
          <w:tcPr>
            <w:tcW w:type="dxa" w:w="228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document-svc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2"/>
                <w:szCs w:val="12"/>
              </w:rPr>
              <w:t xml:space="preserve">DocUploaded</w:t>
            </w:r>
          </w:p>
        </w:tc>
        <w:tc>
          <w:tcPr>
            <w:tcW w:type="dxa" w:w="228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billing-svc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2"/>
                <w:szCs w:val="12"/>
              </w:rPr>
              <w:t xml:space="preserve">PaymentCaptured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6B7280"/>
          <w:sz w:val="14"/>
          <w:szCs w:val="14"/>
        </w:rPr>
        <w:t xml:space="preserve">▲ publish / subscribe ▲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gridSpan w:val="1"/>
            <w:tcBorders>
              <w:top w:val="single" w:color="0B2A4A" w:sz="8"/>
              <w:left w:val="single" w:color="0B2A4A" w:sz="8"/>
              <w:bottom w:val="single" w:color="0B2A4A" w:sz="8"/>
              <w:right w:val="single" w:color="0B2A4A" w:sz="8"/>
            </w:tcBorders>
            <w:shd w:fill="0B2A4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EVENT BUS  —  domain events (CaseFiled · NeutralAppointed · AwardSigned · GrievanceEscalated · PaymentCaptured …)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6B7280"/>
          <w:sz w:val="14"/>
          <w:szCs w:val="14"/>
        </w:rPr>
        <w:t xml:space="preserve">▼ publish / subscribe ▼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mediation-svc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2"/>
                <w:szCs w:val="12"/>
              </w:rPr>
              <w:t xml:space="preserve">MSAGenerated</w:t>
            </w:r>
          </w:p>
        </w:tc>
        <w:tc>
          <w:tcPr>
            <w:tcW w:type="dxa" w:w="228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arbitration-svc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2"/>
                <w:szCs w:val="12"/>
              </w:rPr>
              <w:t xml:space="preserve">AwardSigned</w:t>
            </w:r>
          </w:p>
        </w:tc>
        <w:tc>
          <w:tcPr>
            <w:tcW w:type="dxa" w:w="228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grievance-svc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2"/>
                <w:szCs w:val="12"/>
              </w:rPr>
              <w:t xml:space="preserve">EscalatedToEDRS</w:t>
            </w:r>
          </w:p>
        </w:tc>
        <w:tc>
          <w:tcPr>
            <w:tcW w:type="dxa" w:w="228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notify-svc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2"/>
                <w:szCs w:val="12"/>
              </w:rPr>
              <w:t xml:space="preserve">NotificationSent</w:t>
            </w:r>
          </w:p>
        </w:tc>
        <w:tc>
          <w:tcPr>
            <w:tcW w:type="dxa" w:w="228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ai-svc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2"/>
                <w:szCs w:val="12"/>
              </w:rPr>
              <w:t xml:space="preserve">SummaryReady (advisory)</w:t>
            </w:r>
          </w:p>
        </w:tc>
        <w:tc>
          <w:tcPr>
            <w:tcW w:type="dxa" w:w="2280"/>
            <w:gridSpan w:val="1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FF7ED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audit-svc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2"/>
                <w:szCs w:val="12"/>
              </w:rPr>
              <w:t xml:space="preserve">consumes ALL</w:t>
            </w:r>
          </w:p>
        </w:tc>
      </w:tr>
    </w:tbl>
    <w:p>
      <w:pPr>
        <w:spacing w:after="100"/>
      </w:pPr>
      <w:r>
        <w:t xml:space="preserve"/>
      </w:r>
    </w:p>
    <w:p>
      <w:pPr>
        <w:jc w:val="center"/>
      </w:pPr>
      <w:r>
        <w:rPr>
          <w:i/>
          <w:iCs/>
          <w:color w:val="6B7280"/>
          <w:sz w:val="16"/>
          <w:szCs w:val="16"/>
        </w:rPr>
        <w:t xml:space="preserve">identity-svc and config-svc support all services; audit-svc never originates state — it only records it.</w:t>
      </w:r>
    </w:p>
    <w:p>
      <w:r>
        <w:br w:type="page"/>
      </w:r>
    </w:p>
    <w:p>
      <w:pPr>
        <w:pStyle w:val="Heading1"/>
      </w:pPr>
      <w:r>
        <w:t xml:space="preserve">4. Case Lifecycle State Machine</w:t>
      </w:r>
    </w:p>
    <w:p>
      <w:pPr>
        <w:spacing w:after="160" w:line="264"/>
      </w:pPr>
      <w:r>
        <w:rPr>
          <w:i/>
          <w:iCs/>
          <w:color w:val="6B7280"/>
          <w:sz w:val="18"/>
          <w:szCs w:val="18"/>
        </w:rPr>
        <w:t xml:space="preserve">One configurable state machine drives every pillar; each pillar selects which states and timers apply. Green = resolved, amber = unresolved/escalated.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"/>
        <w:gridCol w:w="2300"/>
        <w:gridCol w:w="300"/>
        <w:gridCol w:w="2300"/>
        <w:gridCol w:w="300"/>
        <w:gridCol w:w="230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color w:val="EAF2F8"/>
                <w:sz w:val="22"/>
                <w:szCs w:val="22"/>
              </w:rPr>
              <w:t xml:space="preserve">■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160"/>
            </w:tcMar>
            <w:vAlign w:val="center"/>
          </w:tcPr>
          <w:p>
            <w:r>
              <w:rPr>
                <w:color w:val="6B7280"/>
                <w:sz w:val="15"/>
                <w:szCs w:val="15"/>
              </w:rPr>
              <w:t xml:space="preserve">In-progress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color w:val="E3F1F0"/>
                <w:sz w:val="22"/>
                <w:szCs w:val="22"/>
              </w:rPr>
              <w:t xml:space="preserve">■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160"/>
            </w:tcMar>
            <w:vAlign w:val="center"/>
          </w:tcPr>
          <w:p>
            <w:r>
              <w:rPr>
                <w:color w:val="6B7280"/>
                <w:sz w:val="15"/>
                <w:szCs w:val="15"/>
              </w:rPr>
              <w:t xml:space="preserve">Resolved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color w:val="FFF7ED"/>
                <w:sz w:val="22"/>
                <w:szCs w:val="22"/>
              </w:rPr>
              <w:t xml:space="preserve">■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160"/>
            </w:tcMar>
            <w:vAlign w:val="center"/>
          </w:tcPr>
          <w:p>
            <w:r>
              <w:rPr>
                <w:color w:val="6B7280"/>
                <w:sz w:val="15"/>
                <w:szCs w:val="15"/>
              </w:rPr>
              <w:t xml:space="preserve">Unresolved / escalated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0"/>
        <w:gridCol w:w="360"/>
        <w:gridCol w:w="1980"/>
        <w:gridCol w:w="360"/>
        <w:gridCol w:w="1980"/>
        <w:gridCol w:w="360"/>
        <w:gridCol w:w="1980"/>
        <w:gridCol w:w="360"/>
        <w:gridCol w:w="1980"/>
        <w:gridCol w:w="360"/>
        <w:gridCol w:w="1980"/>
      </w:tblGrid>
      <w:tr>
        <w:tc>
          <w:tcPr>
            <w:tcW w:type="dxa" w:w="198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EAF2F8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DRAFT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→</w:t>
            </w:r>
          </w:p>
        </w:tc>
        <w:tc>
          <w:tcPr>
            <w:tcW w:type="dxa" w:w="198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EAF2F8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FILED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→</w:t>
            </w:r>
          </w:p>
        </w:tc>
        <w:tc>
          <w:tcPr>
            <w:tcW w:type="dxa" w:w="198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EAF2F8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REGISTERED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1"/>
                <w:szCs w:val="11"/>
              </w:rPr>
              <w:t xml:space="preserve">clock starts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→</w:t>
            </w:r>
          </w:p>
        </w:tc>
        <w:tc>
          <w:tcPr>
            <w:tcW w:type="dxa" w:w="198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EAF2F8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3"/>
                <w:szCs w:val="13"/>
              </w:rPr>
              <w:t xml:space="preserve">NOTICE_SERVED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→</w:t>
            </w:r>
          </w:p>
        </w:tc>
        <w:tc>
          <w:tcPr>
            <w:tcW w:type="dxa" w:w="198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EAF2F8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2"/>
                <w:szCs w:val="12"/>
              </w:rPr>
              <w:t xml:space="preserve">NEUTRAL_APPOINTED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1"/>
                <w:szCs w:val="11"/>
              </w:rPr>
              <w:t xml:space="preserve">S.29A / 120-day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→</w:t>
            </w:r>
          </w:p>
        </w:tc>
        <w:tc>
          <w:tcPr>
            <w:tcW w:type="dxa" w:w="198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EAF2F8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3"/>
                <w:szCs w:val="13"/>
              </w:rPr>
              <w:t xml:space="preserve">IN_RESOLUTION</w:t>
            </w:r>
          </w:p>
        </w:tc>
      </w:tr>
    </w:tbl>
    <w:p>
      <w:pPr>
        <w:spacing w:after="50" w:before="50"/>
        <w:jc w:val="center"/>
      </w:pPr>
      <w:r>
        <w:rPr>
          <w:b/>
          <w:bCs/>
          <w:color w:val="6B7280"/>
          <w:sz w:val="14"/>
          <w:szCs w:val="14"/>
        </w:rPr>
        <w:t xml:space="preserve">▼ splits by mechanism ▼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800"/>
        <w:gridCol w:w="4400"/>
      </w:tblGrid>
      <w:tr>
        <w:tc>
          <w:tcPr>
            <w:tcW w:type="dxa" w:w="440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EAF2F8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5"/>
                <w:szCs w:val="15"/>
              </w:rPr>
              <w:t xml:space="preserve">SETTLEMENT_DRAFTED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2"/>
                <w:szCs w:val="12"/>
              </w:rPr>
              <w:t xml:space="preserve">(mediation)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or</w:t>
            </w:r>
          </w:p>
        </w:tc>
        <w:tc>
          <w:tcPr>
            <w:tcW w:type="dxa" w:w="440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EAF2F8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5"/>
                <w:szCs w:val="15"/>
              </w:rPr>
              <w:t xml:space="preserve">AWARD_DRAFTED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2"/>
                <w:szCs w:val="12"/>
              </w:rPr>
              <w:t xml:space="preserve">(arbitration)</w:t>
            </w:r>
          </w:p>
        </w:tc>
      </w:tr>
    </w:tbl>
    <w:p>
      <w:pPr>
        <w:spacing w:after="50" w:before="50"/>
        <w:jc w:val="center"/>
      </w:pPr>
      <w:r>
        <w:rPr>
          <w:b/>
          <w:bCs/>
          <w:color w:val="6B7280"/>
          <w:sz w:val="16"/>
          <w:szCs w:val="16"/>
        </w:rPr>
        <w:t xml:space="preserve">▼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800"/>
        <w:gridCol w:w="4400"/>
      </w:tblGrid>
      <w:tr>
        <w:tc>
          <w:tcPr>
            <w:tcW w:type="dxa" w:w="440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SIGNED + STAMPED  →  CLOSED_RESOLVED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gridSpan w:val="1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FF7ED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CLOSED_UNRESOLVED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1"/>
                <w:szCs w:val="11"/>
              </w:rPr>
              <w:t xml:space="preserve">withdrawn / escalated → next stage or EDRS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NBFC ↔ Borrower Escalation Ladder</w:t>
      </w:r>
    </w:p>
    <w:p>
      <w:pPr>
        <w:spacing w:after="160" w:line="264"/>
      </w:pPr>
      <w:r>
        <w:rPr>
          <w:i/>
          <w:iCs/>
          <w:color w:val="6B7280"/>
          <w:sz w:val="18"/>
          <w:szCs w:val="18"/>
        </w:rPr>
        <w:t xml:space="preserve">High-volume, clause-driven (SEBI SMART-ODR pattern). Bulk intake feeds a conciliation-first ladder; round-robin allocation to empanelled neutrals; outcomes flow to recovery.</w:t>
      </w:r>
    </w:p>
    <w:tbl>
      <w:tblPr>
        <w:tblW w:type="dxa" w:w="13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0"/>
        <w:gridCol w:w="300"/>
        <w:gridCol w:w="2150"/>
        <w:gridCol w:w="300"/>
        <w:gridCol w:w="2150"/>
        <w:gridCol w:w="300"/>
        <w:gridCol w:w="2150"/>
        <w:gridCol w:w="300"/>
        <w:gridCol w:w="2150"/>
        <w:gridCol w:w="300"/>
        <w:gridCol w:w="1200"/>
      </w:tblGrid>
      <w:tr>
        <w:tc>
          <w:tcPr>
            <w:tcW w:type="dxa" w:w="215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EAF2F8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Bulk / Clause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2"/>
                <w:szCs w:val="12"/>
              </w:rPr>
              <w:t xml:space="preserve">CSV · API intake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→</w:t>
            </w:r>
          </w:p>
        </w:tc>
        <w:tc>
          <w:tcPr>
            <w:tcW w:type="dxa" w:w="215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EAF2F8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Nodal Officer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2"/>
                <w:szCs w:val="12"/>
              </w:rPr>
              <w:t xml:space="preserve">triage · 30-day SLA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→</w:t>
            </w:r>
          </w:p>
        </w:tc>
        <w:tc>
          <w:tcPr>
            <w:tcW w:type="dxa" w:w="215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Pre-Conciliation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2"/>
                <w:szCs w:val="12"/>
              </w:rPr>
              <w:t xml:space="preserve">free window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→</w:t>
            </w:r>
          </w:p>
        </w:tc>
        <w:tc>
          <w:tcPr>
            <w:tcW w:type="dxa" w:w="215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Conciliation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2"/>
                <w:szCs w:val="12"/>
              </w:rPr>
              <w:t xml:space="preserve">round-robin neutral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→</w:t>
            </w:r>
          </w:p>
        </w:tc>
        <w:tc>
          <w:tcPr>
            <w:tcW w:type="dxa" w:w="215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3"/>
                <w:szCs w:val="13"/>
              </w:rPr>
              <w:t xml:space="preserve">Mediation / Arbitration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2"/>
                <w:szCs w:val="12"/>
              </w:rPr>
              <w:t xml:space="preserve">settlement / award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→</w:t>
            </w:r>
          </w:p>
        </w:tc>
        <w:tc>
          <w:tcPr>
            <w:tcW w:type="dxa" w:w="1200"/>
            <w:gridSpan w:val="1"/>
            <w:tcBorders>
              <w:top w:val="single" w:color="0B2A4A" w:sz="8"/>
              <w:left w:val="single" w:color="0B2A4A" w:sz="8"/>
              <w:bottom w:val="single" w:color="0B2A4A" w:sz="8"/>
              <w:right w:val="single" w:color="0B2A4A" w:sz="8"/>
            </w:tcBorders>
            <w:shd w:fill="0B2A4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Recovery</w:t>
            </w:r>
          </w:p>
        </w:tc>
      </w:tr>
    </w:tbl>
    <w:p>
      <w:pPr>
        <w:spacing w:after="100"/>
      </w:pPr>
      <w:r>
        <w:t xml:space="preserve"/>
      </w:r>
    </w:p>
    <w:p>
      <w:pPr>
        <w:jc w:val="center"/>
      </w:pPr>
      <w:r>
        <w:rPr>
          <w:i/>
          <w:iCs/>
          <w:color w:val="0E7C7B"/>
          <w:sz w:val="16"/>
          <w:szCs w:val="16"/>
        </w:rPr>
        <w:t xml:space="preserve">Modelled on SEBI SMART ODR — the staged ladder is proven at millions of cases in Indian finance.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6. Enterprise Grievance &amp; POSH Flow</w:t>
      </w:r>
    </w:p>
    <w:p>
      <w:pPr>
        <w:spacing w:after="160" w:line="264"/>
      </w:pPr>
      <w:r>
        <w:rPr>
          <w:i/>
          <w:iCs/>
          <w:color w:val="6B7280"/>
          <w:sz w:val="18"/>
          <w:szCs w:val="18"/>
        </w:rPr>
        <w:t xml:space="preserve">Single-window intake auto-routes to the Internal Committee; the 90-day POSH clock and strict confidentiality apply; unresolved matters hand off to EDRS for neutral resolution.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300"/>
        <w:gridCol w:w="2500"/>
        <w:gridCol w:w="300"/>
        <w:gridCol w:w="2700"/>
        <w:gridCol w:w="300"/>
        <w:gridCol w:w="2500"/>
        <w:gridCol w:w="300"/>
        <w:gridCol w:w="2000"/>
      </w:tblGrid>
      <w:tr>
        <w:tc>
          <w:tcPr>
            <w:tcW w:type="dxa" w:w="250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EAF2F8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Employee complaint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2"/>
                <w:szCs w:val="12"/>
              </w:rPr>
              <w:t xml:space="preserve">general · POSH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→</w:t>
            </w:r>
          </w:p>
        </w:tc>
        <w:tc>
          <w:tcPr>
            <w:tcW w:type="dxa" w:w="250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EAF2F8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Auto-routing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2"/>
                <w:szCs w:val="12"/>
              </w:rPr>
              <w:t xml:space="preserve">IC vs LC · category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→</w:t>
            </w:r>
          </w:p>
        </w:tc>
        <w:tc>
          <w:tcPr>
            <w:tcW w:type="dxa" w:w="270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EAF2F8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Internal Committee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2"/>
                <w:szCs w:val="12"/>
              </w:rPr>
              <w:t xml:space="preserve">inquiry · 90-day clock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→</w:t>
            </w:r>
          </w:p>
        </w:tc>
        <w:tc>
          <w:tcPr>
            <w:tcW w:type="dxa" w:w="250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3"/>
                <w:szCs w:val="13"/>
              </w:rPr>
              <w:t xml:space="preserve">Resolved / Action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1"/>
                <w:szCs w:val="11"/>
              </w:rPr>
              <w:t xml:space="preserve">IC report · annual log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or</w:t>
            </w:r>
          </w:p>
        </w:tc>
        <w:tc>
          <w:tcPr>
            <w:tcW w:type="dxa" w:w="2000"/>
            <w:gridSpan w:val="1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FF7ED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3"/>
                <w:szCs w:val="13"/>
              </w:rPr>
              <w:t xml:space="preserve">Escalate to EDRS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11"/>
                <w:szCs w:val="11"/>
              </w:rPr>
              <w:t xml:space="preserve">mediation / arbitration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Deployment Topology</w:t>
      </w:r>
    </w:p>
    <w:p>
      <w:pPr>
        <w:spacing w:after="160" w:line="264"/>
      </w:pPr>
      <w:r>
        <w:rPr>
          <w:i/>
          <w:iCs/>
          <w:color w:val="6B7280"/>
          <w:sz w:val="18"/>
          <w:szCs w:val="18"/>
        </w:rPr>
        <w:t xml:space="preserve">Primary Indian region with multi-AZ HA; a second Indian region for DR. Public edge fronts private service &amp; data subnets. Global expansion replicates per residency zone.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870"/>
        <w:gridCol w:w="2870"/>
        <w:gridCol w:w="2870"/>
        <w:gridCol w:w="2870"/>
      </w:tblGrid>
      <w:tr>
        <w:tc>
          <w:tcPr>
            <w:tcW w:type="dxa" w:w="220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1F6FB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EDGE</w:t>
            </w:r>
          </w:p>
        </w:tc>
        <w:tc>
          <w:tcPr>
            <w:tcW w:type="dxa" w:w="287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EAF2F8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CDN</w:t>
            </w:r>
          </w:p>
        </w:tc>
        <w:tc>
          <w:tcPr>
            <w:tcW w:type="dxa" w:w="287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EAF2F8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WAF / DDoS</w:t>
            </w:r>
          </w:p>
        </w:tc>
        <w:tc>
          <w:tcPr>
            <w:tcW w:type="dxa" w:w="287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EAF2F8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API Gateway</w:t>
            </w:r>
          </w:p>
        </w:tc>
        <w:tc>
          <w:tcPr>
            <w:tcW w:type="dxa" w:w="287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EAF2F8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Load Balancer</w:t>
            </w:r>
          </w:p>
        </w:tc>
      </w:tr>
    </w:tbl>
    <w:p>
      <w:pPr>
        <w:spacing w:after="50" w:before="50"/>
        <w:jc w:val="center"/>
      </w:pPr>
      <w:r>
        <w:rPr>
          <w:b/>
          <w:bCs/>
          <w:color w:val="6B7280"/>
          <w:sz w:val="16"/>
          <w:szCs w:val="16"/>
        </w:rPr>
        <w:t xml:space="preserve">▼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20"/>
        <w:gridCol w:w="240"/>
        <w:gridCol w:w="6720"/>
      </w:tblGrid>
      <w:tr>
        <w:tc>
          <w:tcPr>
            <w:tcW w:type="dxa" w:w="672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tbl>
            <w:tblPr>
              <w:tblW w:type="dxa" w:w="6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720"/>
            </w:tblGrid>
            <w:tr>
              <w:tc>
                <w:tcPr>
                  <w:tcW w:type="dxa" w:w="6720"/>
                  <w:gridSpan w:val="1"/>
                  <w:tcBorders>
                    <w:top w:val="single" w:color="0B2A4A" w:sz="8"/>
                    <w:left w:val="single" w:color="0B2A4A" w:sz="8"/>
                    <w:bottom w:val="single" w:color="0B2A4A" w:sz="8"/>
                    <w:right w:val="single" w:color="0B2A4A" w:sz="8"/>
                  </w:tcBorders>
                  <w:shd w:fill="0B2A4A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4"/>
                      <w:szCs w:val="14"/>
                    </w:rPr>
                    <w:t xml:space="preserve">Availability Zone A</w:t>
                  </w:r>
                </w:p>
              </w:tc>
            </w:tr>
            <w:tr>
              <w:tc>
                <w:tcPr>
                  <w:tcW w:type="dxa" w:w="6720"/>
                  <w:gridSpan w:val="1"/>
                  <w:tcBorders>
                    <w:top w:val="single" w:color="0E7C7B" w:sz="8"/>
                    <w:left w:val="single" w:color="0E7C7B" w:sz="8"/>
                    <w:bottom w:val="single" w:color="0E7C7B" w:sz="8"/>
                    <w:right w:val="single" w:color="0E7C7B" w:sz="8"/>
                  </w:tcBorders>
                  <w:shd w:fill="E3F1F0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30" w:line="23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B2A4A"/>
                      <w:sz w:val="13"/>
                      <w:szCs w:val="13"/>
                    </w:rPr>
                    <w:t xml:space="preserve">Kubernetes — service pods</w:t>
                  </w:r>
                </w:p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4"/>
                      <w:szCs w:val="14"/>
                    </w:rPr>
                    <w:t xml:space="preserve">intake · case · allocation · hearing · document · mediation · arbitration · billing · notify · grievance · ai</w:t>
                  </w:r>
                </w:p>
              </w:tc>
            </w:tr>
            <w:tr>
              <w:tc>
                <w:tcPr>
                  <w:tcW w:type="dxa" w:w="6720"/>
                  <w:gridSpan w:val="1"/>
                  <w:tcBorders>
                    <w:top w:val="single" w:color="1F6FB2" w:sz="8"/>
                    <w:left w:val="single" w:color="1F6FB2" w:sz="8"/>
                    <w:bottom w:val="single" w:color="1F6FB2" w:sz="8"/>
                    <w:right w:val="single" w:color="1F6FB2" w:sz="8"/>
                  </w:tcBorders>
                  <w:shd w:fill="EAF2F8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30" w:line="23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B2A4A"/>
                      <w:sz w:val="13"/>
                      <w:szCs w:val="13"/>
                    </w:rPr>
                    <w:t xml:space="preserve">PostgreSQL</w:t>
                  </w:r>
                </w:p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4"/>
                      <w:szCs w:val="14"/>
                    </w:rPr>
                    <w:t xml:space="preserve">primary / replica</w:t>
                  </w:r>
                </w:p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72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tbl>
            <w:tblPr>
              <w:tblW w:type="dxa" w:w="6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720"/>
            </w:tblGrid>
            <w:tr>
              <w:tc>
                <w:tcPr>
                  <w:tcW w:type="dxa" w:w="6720"/>
                  <w:gridSpan w:val="1"/>
                  <w:tcBorders>
                    <w:top w:val="single" w:color="0B2A4A" w:sz="8"/>
                    <w:left w:val="single" w:color="0B2A4A" w:sz="8"/>
                    <w:bottom w:val="single" w:color="0B2A4A" w:sz="8"/>
                    <w:right w:val="single" w:color="0B2A4A" w:sz="8"/>
                  </w:tcBorders>
                  <w:shd w:fill="0B2A4A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0" w:line="23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4"/>
                      <w:szCs w:val="14"/>
                    </w:rPr>
                    <w:t xml:space="preserve">Availability Zone B</w:t>
                  </w:r>
                </w:p>
              </w:tc>
            </w:tr>
            <w:tr>
              <w:tc>
                <w:tcPr>
                  <w:tcW w:type="dxa" w:w="6720"/>
                  <w:gridSpan w:val="1"/>
                  <w:tcBorders>
                    <w:top w:val="single" w:color="0E7C7B" w:sz="8"/>
                    <w:left w:val="single" w:color="0E7C7B" w:sz="8"/>
                    <w:bottom w:val="single" w:color="0E7C7B" w:sz="8"/>
                    <w:right w:val="single" w:color="0E7C7B" w:sz="8"/>
                  </w:tcBorders>
                  <w:shd w:fill="E3F1F0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30" w:line="23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B2A4A"/>
                      <w:sz w:val="13"/>
                      <w:szCs w:val="13"/>
                    </w:rPr>
                    <w:t xml:space="preserve">Kubernetes — service pods</w:t>
                  </w:r>
                </w:p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4"/>
                      <w:szCs w:val="14"/>
                    </w:rPr>
                    <w:t xml:space="preserve">intake · case · allocation · hearing · document · mediation · arbitration · billing · notify · grievance · ai</w:t>
                  </w:r>
                </w:p>
              </w:tc>
            </w:tr>
            <w:tr>
              <w:tc>
                <w:tcPr>
                  <w:tcW w:type="dxa" w:w="6720"/>
                  <w:gridSpan w:val="1"/>
                  <w:tcBorders>
                    <w:top w:val="single" w:color="1F6FB2" w:sz="8"/>
                    <w:left w:val="single" w:color="1F6FB2" w:sz="8"/>
                    <w:bottom w:val="single" w:color="1F6FB2" w:sz="8"/>
                    <w:right w:val="single" w:color="1F6FB2" w:sz="8"/>
                  </w:tcBorders>
                  <w:shd w:fill="EAF2F8" w:val="clear"/>
                  <w:tcMar>
                    <w:top w:type="dxa" w:w="90"/>
                    <w:left w:type="dxa" w:w="90"/>
                    <w:bottom w:type="dxa" w:w="90"/>
                    <w:right w:type="dxa" w:w="90"/>
                  </w:tcMar>
                  <w:vAlign w:val="center"/>
                </w:tcPr>
                <w:p>
                  <w:pPr>
                    <w:spacing w:after="30" w:line="23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B2A4A"/>
                      <w:sz w:val="13"/>
                      <w:szCs w:val="13"/>
                    </w:rPr>
                    <w:t xml:space="preserve">PostgreSQL</w:t>
                  </w:r>
                </w:p>
                <w:p>
                  <w:pPr>
                    <w:spacing w:after="0" w:line="23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4"/>
                      <w:szCs w:val="14"/>
                    </w:rPr>
                    <w:t xml:space="preserve">primary / replica</w:t>
                  </w:r>
                </w:p>
              </w:tc>
            </w:tr>
          </w:tbl>
          <w:p/>
        </w:tc>
      </w:tr>
    </w:tbl>
    <w:p>
      <w:pPr>
        <w:spacing w:after="50" w:before="50"/>
        <w:jc w:val="center"/>
      </w:pPr>
      <w:r>
        <w:rPr>
          <w:b/>
          <w:bCs/>
          <w:color w:val="B45309"/>
          <w:sz w:val="14"/>
          <w:szCs w:val="14"/>
        </w:rPr>
        <w:t xml:space="preserve">▼ async replication ▼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40"/>
        <w:gridCol w:w="240"/>
        <w:gridCol w:w="6600"/>
      </w:tblGrid>
      <w:tr>
        <w:tc>
          <w:tcPr>
            <w:tcW w:type="dxa" w:w="6840"/>
            <w:gridSpan w:val="1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FF7ED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DR Region (India) — warm standby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RPO ≤ 15 min · RTO ≤ 2 h · backups · PITR · DR drills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/>
            </w:r>
          </w:p>
        </w:tc>
        <w:tc>
          <w:tcPr>
            <w:tcW w:type="dxa" w:w="660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EAF2F8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Global expansion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Replicate stack per residency zone (IN · SG · AE · UK · EU); route tenants to zone; share code, not data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Core Data Model (ERD)</w:t>
      </w:r>
    </w:p>
    <w:p>
      <w:pPr>
        <w:spacing w:after="160" w:line="264"/>
      </w:pPr>
      <w:r>
        <w:rPr>
          <w:i/>
          <w:iCs/>
          <w:color w:val="6B7280"/>
          <w:sz w:val="18"/>
          <w:szCs w:val="18"/>
        </w:rPr>
        <w:t xml:space="preserve">The relational heart. Full schema (60+ tables, ~190 columns) is in the Forms &amp; Database Specification. Arrows read parent → child (one-to-many unless noted).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gridSpan w:val="1"/>
            <w:tcBorders>
              <w:top w:val="single" w:color="0B2A4A" w:sz="8"/>
              <w:left w:val="single" w:color="0B2A4A" w:sz="8"/>
              <w:bottom w:val="single" w:color="0B2A4A" w:sz="8"/>
              <w:right w:val="single" w:color="0B2A4A" w:sz="8"/>
            </w:tcBorders>
            <w:shd w:fill="0B2A4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tenants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7E3EE"/>
                <w:sz w:val="14"/>
                <w:szCs w:val="14"/>
              </w:rPr>
              <w:t xml:space="preserve">EDRS · Private Court · Enterprise</w:t>
            </w:r>
          </w:p>
        </w:tc>
      </w:tr>
    </w:tbl>
    <w:p>
      <w:pPr>
        <w:spacing w:after="40" w:before="40"/>
        <w:jc w:val="center"/>
      </w:pPr>
      <w:r>
        <w:rPr>
          <w:color w:val="6B7280"/>
          <w:sz w:val="13"/>
          <w:szCs w:val="13"/>
        </w:rPr>
        <w:t xml:space="preserve">│ 1 : N</w:t>
      </w:r>
    </w:p>
    <w:p>
      <w:pPr>
        <w:spacing w:after="40"/>
        <w:jc w:val="center"/>
      </w:pPr>
      <w:r>
        <w:rPr>
          <w:color w:val="6B7280"/>
          <w:sz w:val="14"/>
          <w:szCs w:val="14"/>
        </w:rPr>
        <w:t xml:space="preserve">▼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1F6FB2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cases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7E3EE"/>
                <w:sz w:val="14"/>
                <w:szCs w:val="14"/>
              </w:rPr>
              <w:t xml:space="preserve">pillar · mechanism · status · confidentiality_tier · ruleset</w:t>
            </w:r>
          </w:p>
        </w:tc>
      </w:tr>
    </w:tbl>
    <w:p>
      <w:pPr>
        <w:spacing w:after="40" w:before="40"/>
        <w:jc w:val="center"/>
      </w:pPr>
      <w:r>
        <w:rPr>
          <w:color w:val="6B7280"/>
          <w:sz w:val="13"/>
          <w:szCs w:val="13"/>
        </w:rPr>
        <w:t xml:space="preserve">├─────────────┬─────────────┬─────────────┬─────────────┬─────────────┤   (1 : N)</w:t>
      </w:r>
    </w:p>
    <w:tbl>
      <w:tblPr>
        <w:tblW w:type="dxa" w:w="13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180"/>
        <w:gridCol w:w="3300"/>
        <w:gridCol w:w="180"/>
        <w:gridCol w:w="3300"/>
        <w:gridCol w:w="180"/>
        <w:gridCol w:w="2860"/>
      </w:tblGrid>
      <w:tr>
        <w:tc>
          <w:tcPr>
            <w:tcW w:type="dxa" w:w="330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EAF2F8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parties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claimant · respondent · counsel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assignments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neutral ↔ case · round-robin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hearings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+ attendances · notices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documents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+ versions · bundles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3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180"/>
        <w:gridCol w:w="3300"/>
        <w:gridCol w:w="180"/>
        <w:gridCol w:w="3300"/>
        <w:gridCol w:w="180"/>
        <w:gridCol w:w="2860"/>
      </w:tblGrid>
      <w:tr>
        <w:tc>
          <w:tcPr>
            <w:tcW w:type="dxa" w:w="330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awards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arbitration · reasoned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settlements / MSA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mediation · enforceable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gridSpan w:val="1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FF7ED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grievances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ic_committees · escalations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EAF2F8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4"/>
                <w:szCs w:val="14"/>
              </w:rPr>
              <w:t xml:space="preserve">invoices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+ payments · payouts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0B2A4A"/>
          <w:sz w:val="16"/>
          <w:szCs w:val="16"/>
        </w:rPr>
        <w:t xml:space="preserve">Supporting entities (referenced across the model):</w:t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60"/>
        <w:gridCol w:w="180"/>
        <w:gridCol w:w="3360"/>
        <w:gridCol w:w="180"/>
        <w:gridCol w:w="3360"/>
        <w:gridCol w:w="180"/>
        <w:gridCol w:w="2700"/>
      </w:tblGrid>
      <w:tr>
        <w:tc>
          <w:tcPr>
            <w:tcW w:type="dxa" w:w="3360"/>
            <w:gridSpan w:val="1"/>
            <w:tcBorders>
              <w:top w:val="single" w:color="1F6FB2" w:sz="8"/>
              <w:left w:val="single" w:color="1F6FB2" w:sz="8"/>
              <w:bottom w:val="single" w:color="1F6FB2" w:sz="8"/>
              <w:right w:val="single" w:color="1F6FB2" w:sz="8"/>
            </w:tcBorders>
            <w:shd w:fill="EAF2F8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3"/>
                <w:szCs w:val="13"/>
              </w:rPr>
              <w:t xml:space="preserve">users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party · neutral · case mgr · staff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3F1F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3"/>
                <w:szCs w:val="13"/>
              </w:rPr>
              <w:t xml:space="preserve">neutrals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empanelment · specialisations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FF7ED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0B2A4A"/>
                <w:sz w:val="13"/>
                <w:szCs w:val="13"/>
              </w:rPr>
              <w:t xml:space="preserve">rulesets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timelines · templates · fees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0B2A4A" w:sz="8"/>
              <w:left w:val="single" w:color="0B2A4A" w:sz="8"/>
              <w:bottom w:val="single" w:color="0B2A4A" w:sz="8"/>
              <w:right w:val="single" w:color="0B2A4A" w:sz="8"/>
            </w:tcBorders>
            <w:shd w:fill="0B2A4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audit_entries</w:t>
            </w:r>
          </w:p>
          <w:p>
            <w:pPr>
              <w:spacing w:after="0" w:line="23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D7E3EE"/>
                <w:sz w:val="14"/>
                <w:szCs w:val="14"/>
              </w:rPr>
              <w:t xml:space="preserve">append-only · hash-chained</w:t>
            </w:r>
          </w:p>
        </w:tc>
      </w:tr>
    </w:tbl>
    <w:p>
      <w:pPr>
        <w:spacing w:after="140"/>
      </w:pPr>
      <w:r>
        <w:t xml:space="preserve"/>
      </w:r>
    </w:p>
    <w:p>
      <w:r>
        <w:rPr>
          <w:b/>
          <w:bCs/>
          <w:color w:val="0B2A4A"/>
          <w:sz w:val="16"/>
          <w:szCs w:val="16"/>
        </w:rPr>
        <w:t xml:space="preserve">Tip: </w:t>
      </w:r>
      <w:r>
        <w:rPr>
          <w:i/>
          <w:iCs/>
          <w:color w:val="6B7280"/>
          <w:sz w:val="16"/>
          <w:szCs w:val="16"/>
        </w:rPr>
        <w:t xml:space="preserve">every box above is a Word table cell — click to retype, right-click → Borders and Shading to recolour, or copy a row into your own slides/docs.</w:t>
      </w:r>
    </w:p>
    <w:sectPr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0EA" w:sz="4" w:space="4"/>
      </w:pBdr>
      <w:spacing w:before="40"/>
      <w:jc w:val="center"/>
    </w:pPr>
    <w:r>
      <w:rPr>
        <w:color w:val="6B7280"/>
        <w:sz w:val="13"/>
        <w:szCs w:val="13"/>
      </w:rPr>
      <w:t xml:space="preserve">Confidential — editable native Word diagrams      Page </w:t>
    </w:r>
    <w:r>
      <w:rPr>
        <w:color w:val="6B7280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3"/>
        <w:szCs w:val="13"/>
      </w:rPr>
      <w:t xml:space="preserve"> of </w:t>
    </w:r>
    <w:r>
      <w:rPr>
        <w:color w:val="6B7280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0EA" w:sz="4" w:space="4"/>
      </w:pBdr>
      <w:spacing w:after="60"/>
      <w:jc w:val="right"/>
    </w:pPr>
    <w:r>
      <w:rPr>
        <w:b/>
        <w:bCs/>
        <w:color w:val="0B2A4A"/>
        <w:sz w:val="14"/>
        <w:szCs w:val="14"/>
      </w:rPr>
      <w:t xml:space="preserve">EQUATOR RESOLUTION</w:t>
    </w:r>
    <w:r>
      <w:rPr>
        <w:color w:val="6B7280"/>
        <w:sz w:val="14"/>
        <w:szCs w:val="14"/>
      </w:rPr>
      <w:t xml:space="preserve">   |   Architecture Diagrams (Editable)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C7B" w:sz="8" w:space="4"/>
      </w:pBdr>
      <w:spacing w:after="120" w:before="160"/>
      <w:outlineLvl w:val="0"/>
    </w:pPr>
    <w:rPr>
      <w:rFonts w:ascii="Calibri" w:cs="Calibri" w:eastAsia="Calibri" w:hAnsi="Calibri"/>
      <w:b/>
      <w:bCs/>
      <w:color w:val="0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Equator Resolution — Architecture Diagrams (Editable)</dc:title>
  <dc:creator>Equator Resolution</dc:creator>
  <cp:lastModifiedBy>Un-named</cp:lastModifiedBy>
  <cp:revision>1</cp:revision>
  <dcterms:created xsi:type="dcterms:W3CDTF">2026-06-25T06:14:28.258Z</dcterms:created>
  <dcterms:modified xsi:type="dcterms:W3CDTF">2026-06-25T06:14:28.259Z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