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900"/>
      </w:pPr>
    </w:p>
    <w:p>
      <w:pPr>
        <w:spacing w:after="30"/>
        <w:jc w:val="center"/>
      </w:pPr>
      <w:r>
        <w:rPr>
          <w:b/>
          <w:bCs/>
          <w:color w:val="0B2A4A"/>
          <w:sz w:val="52"/>
          <w:szCs w:val="52"/>
        </w:rPr>
        <w:t xml:space="preserve">EQUATOR RESOLUTION</w:t>
      </w:r>
    </w:p>
    <w:p>
      <w:pPr>
        <w:pBdr>
          <w:bottom w:val="single" w:color="0E7C7B" w:sz="12" w:space="6"/>
        </w:pBdr>
        <w:spacing w:after="220"/>
        <w:jc w:val="center"/>
      </w:pPr>
      <w:r>
        <w:rPr>
          <w:sz w:val="2"/>
          <w:szCs w:val="2"/>
        </w:rPr>
        <w:t xml:space="preserve"/>
      </w:r>
    </w:p>
    <w:p>
      <w:pPr>
        <w:spacing w:after="24"/>
        <w:jc w:val="center"/>
      </w:pPr>
      <w:r>
        <w:rPr>
          <w:b/>
          <w:bCs/>
          <w:color w:val="1F2937"/>
          <w:sz w:val="40"/>
          <w:szCs w:val="40"/>
        </w:rPr>
        <w:t xml:space="preserve">Competitor &amp; Market Research Report</w:t>
      </w:r>
    </w:p>
    <w:p>
      <w:pPr>
        <w:spacing w:after="24"/>
        <w:jc w:val="center"/>
      </w:pPr>
      <w:r>
        <w:rPr>
          <w:color w:val="6B7280"/>
          <w:sz w:val="24"/>
          <w:szCs w:val="24"/>
        </w:rPr>
        <w:t xml:space="preserve">The Online Dispute Resolution (ODR) Landscape — India &amp; Global</w:t>
      </w:r>
    </w:p>
    <w:p>
      <w:pPr>
        <w:spacing w:after="600"/>
        <w:jc w:val="center"/>
      </w:pPr>
      <w:r>
        <w:rPr>
          <w:color w:val="1F6FB2"/>
          <w:sz w:val="19"/>
          <w:szCs w:val="19"/>
        </w:rPr>
        <w:t xml:space="preserve">Market sizing · Competitor profiles · Industry practices · Positioning for Equator</w:t>
      </w:r>
    </w:p>
    <w:p>
      <w:pPr>
        <w:spacing w:after="18"/>
        <w:jc w:val="center"/>
      </w:pPr>
      <w:r>
        <w:rPr>
          <w:color w:val="6B7280"/>
          <w:sz w:val="19"/>
          <w:szCs w:val="19"/>
        </w:rPr>
        <w:t xml:space="preserve">Companion to the Platform &amp; Solution Architecture</w:t>
      </w:r>
    </w:p>
    <w:p>
      <w:pPr>
        <w:spacing w:after="18"/>
        <w:jc w:val="center"/>
      </w:pPr>
      <w:r>
        <w:rPr>
          <w:color w:val="9CA3AF"/>
          <w:sz w:val="18"/>
          <w:szCs w:val="18"/>
        </w:rPr>
        <w:t xml:space="preserve">Version 1.0  |  June 2026  |  Confidential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40" w:line="276"/>
      </w:pPr>
      <w:r>
        <w:t xml:space="preserve">Online Dispute Resolution (ODR) — resolving disputes through digital negotiation, mediation, conciliation and arbitration — has matured from a fringe idea into a recognised category, propelled in India by NITI Aayog's 2021 policy plan, the Mediation Act 2023, and regulator-led portals such as SEBI's SMART ODR. The global Legal ODR market is small but fast-growing (commonly cited double-digit CAGR through the early-to-mid 2030s), while the broader ODR platforms market is already sized in the multiple-USD-billions.</w:t>
      </w:r>
    </w:p>
    <w:p>
      <w:pPr>
        <w:spacing w:after="140" w:line="276"/>
      </w:pPr>
      <w:r>
        <w:t xml:space="preserve">India's ODR field is crowded with capable players — Presolv360, SAMA, CADRE, Webnyay, CORD, Jupitice and others — but it is fragmented by specialisation: some are managed institutions, some are SaaS tools, some are vertical specialists (securities, lending, MSME), and a few (notably Jupitice) already market a “private digital court”. No single player convincingly spans the full set of segments Equator targets — marital, NBFC-borrower, commercial, and enterprise grievance/POSH — while also running both a managed institution and neutral-facing infrastructure (Private Court) and an academy.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8" w:sz="1"/>
              <w:left w:val="single" w:color="0E7C7B" w:sz="24"/>
              <w:bottom w:val="single" w:color="EAF2F8" w:sz="1"/>
              <w:right w:val="single" w:color="EAF2F8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B2A4A"/>
                <w:sz w:val="20"/>
                <w:szCs w:val="20"/>
              </w:rPr>
              <w:t xml:space="preserve">The gap Equator fills</w:t>
            </w:r>
          </w:p>
          <w:p>
            <w:pPr>
              <w:spacing w:after="0"/>
            </w:pPr>
            <w:r>
              <w:rPr>
                <w:color w:val="1F2937"/>
                <w:sz w:val="19"/>
                <w:szCs w:val="19"/>
              </w:rPr>
              <w:t xml:space="preserve">The market rewards either depth in one vertical or breadth as infrastructure. Equator's thesis is to do both: a managed institution (EDRS) for high-trust segments (marital, POSH) and high-volume segments (NBFC, commercial), PLUS neutral-facing Private Court infrastructure and an Academy that seeds supply. The competitive question is not “can ODR work?” (it demonstrably does) but “who assembles the most complete, compliant, multi-segment platform?”.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Market Sizing &amp; Growth</w:t>
      </w:r>
    </w:p>
    <w:p>
      <w:pPr>
        <w:pStyle w:val="Heading2"/>
      </w:pPr>
      <w:r>
        <w:t xml:space="preserve">2.1 Global market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360"/>
        <w:gridCol w:w="2900"/>
      </w:tblGrid>
      <w:tr>
        <w:trPr>
          <w:tblHeader/>
        </w:trPr>
        <w:tc>
          <w:tcPr>
            <w:tcW w:type="dxa" w:w="3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Figure (as reported)</w:t>
            </w:r>
          </w:p>
        </w:tc>
        <w:tc>
          <w:tcPr>
            <w:tcW w:type="dxa" w:w="2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Legal ODR market (2025–26)</w:t>
            </w:r>
          </w:p>
        </w:tc>
        <w:tc>
          <w:tcPr>
            <w:tcW w:type="dxa" w:w="3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~USD 0.13–0.66 bn (varies by definition)</w:t>
            </w:r>
          </w:p>
        </w:tc>
        <w:tc>
          <w:tcPr>
            <w:tcW w:type="dxa" w:w="2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Estimates differ sharply by scope/source.</w:t>
            </w:r>
          </w:p>
        </w:tc>
      </w:tr>
      <w:tr>
        <w:tc>
          <w:tcPr>
            <w:tcW w:type="dxa" w:w="3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Legal ODR CAGR</w:t>
            </w:r>
          </w:p>
        </w:tc>
        <w:tc>
          <w:tcPr>
            <w:tcW w:type="dxa" w:w="3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~10–18% (to early/mid 2030s)</w:t>
            </w:r>
          </w:p>
        </w:tc>
        <w:tc>
          <w:tcPr>
            <w:tcW w:type="dxa" w:w="2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Consistently double-digit across sources.</w:t>
            </w:r>
          </w:p>
        </w:tc>
      </w:tr>
      <w:tr>
        <w:tc>
          <w:tcPr>
            <w:tcW w:type="dxa" w:w="3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Broader ODR platforms market</w:t>
            </w:r>
          </w:p>
        </w:tc>
        <w:tc>
          <w:tcPr>
            <w:tcW w:type="dxa" w:w="3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~USD 2.5 bn (2025) → ~USD 4.6 bn (2032)</w:t>
            </w:r>
          </w:p>
        </w:tc>
        <w:tc>
          <w:tcPr>
            <w:tcW w:type="dxa" w:w="2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~9.5% CAGR (wider definition).</w:t>
            </w:r>
          </w:p>
        </w:tc>
      </w:tr>
      <w:tr>
        <w:tc>
          <w:tcPr>
            <w:tcW w:type="dxa" w:w="3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AI adoption in ODR</w:t>
            </w:r>
          </w:p>
        </w:tc>
        <w:tc>
          <w:tcPr>
            <w:tcW w:type="dxa" w:w="3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~44% of platforms use AI negotiation tools</w:t>
            </w:r>
          </w:p>
        </w:tc>
        <w:tc>
          <w:tcPr>
            <w:tcW w:type="dxa" w:w="2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Rising; a near-table-stakes capability.</w:t>
            </w:r>
          </w:p>
        </w:tc>
      </w:tr>
      <w:tr>
        <w:tc>
          <w:tcPr>
            <w:tcW w:type="dxa" w:w="3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Blockchain in ODR</w:t>
            </w:r>
          </w:p>
        </w:tc>
        <w:tc>
          <w:tcPr>
            <w:tcW w:type="dxa" w:w="3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~39% integrate blockchain for integrity</w:t>
            </w:r>
          </w:p>
        </w:tc>
        <w:tc>
          <w:tcPr>
            <w:tcW w:type="dxa" w:w="2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Audit/tamper-evidence use cases.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line="276"/>
      </w:pPr>
      <w:r>
        <w:rPr>
          <w:i/>
          <w:iCs/>
          <w:color w:val="6B7280"/>
        </w:rPr>
        <w:t xml:space="preserve">Figures vary widely because reports define “ODR” differently (legal-only vs. all dispute tech vs. e-commerce resolution). The directional signal is unambiguous: a small base growing at double digits, with AI and audit-integrity features becoming standard.</w:t>
      </w:r>
    </w:p>
    <w:p>
      <w:pPr>
        <w:pStyle w:val="Heading2"/>
      </w:pPr>
      <w:r>
        <w:t xml:space="preserve">2.2 India market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Category formation: ODR startups grew from ~3 (2018) to a recognised cohort; NITI Aayog's 2021 plan “Designing the Future of Dispute Resolution” legitimised and roadmapped the space.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Policy tailwinds: Mediation Act 2023 (institutional + online mediation, Mediation Council of India, settlement = decree); SEBI SMART ODR (securities); RBI Digital Lending Directions 2025 (grievance redressal); Consumer Protection ODR push; POSH/SHe-Box.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Demand drivers: a pendency-heavy judiciary (tens of millions of pending cases), surging digital-lending volumes, MSME payment disputes, e-commerce/consumer disputes, and statutory grievance mandates.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Proof of scale: SAMA reports 35 lakh+ (3.5M+) disputes resolved with 3,000+ neutrals across 500+ districts; Presolv360 reports ~1 million disputes resolved and a Series A (~USD 4.7M, 2025), claiming ~65% legal-cost reduction for enterprise clients.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F8FB" w:sz="1"/>
              <w:left w:val="single" w:color="1F6FB2" w:sz="24"/>
              <w:bottom w:val="single" w:color="F4F8FB" w:sz="1"/>
              <w:right w:val="single" w:color="F4F8FB" w:sz="1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B2A4A"/>
                <w:sz w:val="20"/>
                <w:szCs w:val="20"/>
              </w:rPr>
              <w:t xml:space="preserve">Read-through for Equator</w:t>
            </w:r>
          </w:p>
          <w:p>
            <w:pPr>
              <w:spacing w:after="0"/>
            </w:pPr>
            <w:r>
              <w:rPr>
                <w:color w:val="1F2937"/>
                <w:sz w:val="19"/>
                <w:szCs w:val="19"/>
              </w:rPr>
              <w:t xml:space="preserve">The Indian market has proven both volume (lending/consumer at millions of cases) and willingness-to-pay (enterprise cost savings, regulator mandates). The supply side (neutrals) is a recognised bottleneck the policy explicitly calls out — validating Equator's Academy + empanelment strategy.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Competitor Landscape</w:t>
      </w:r>
    </w:p>
    <w:p>
      <w:pPr>
        <w:pStyle w:val="Heading2"/>
      </w:pPr>
      <w:r>
        <w:t xml:space="preserve">3.1 India — leading ODR players</w:t>
      </w:r>
    </w:p>
    <w:p>
      <w:pPr>
        <w:spacing w:after="140" w:line="276"/>
      </w:pPr>
      <w:r>
        <w:t xml:space="preserve">The Indian field has matured into a regulator-driven market with several well-funded, capable players. The table summarises; the profiles that follow give the specifics that matter for positioning against each (current as of June 2026).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3060"/>
        <w:gridCol w:w="3800"/>
      </w:tblGrid>
      <w:tr>
        <w:trPr>
          <w:tblHeader/>
        </w:trPr>
        <w:tc>
          <w:tcPr>
            <w:tcW w:type="dxa" w:w="1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Player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Founded / base</w:t>
            </w:r>
          </w:p>
        </w:tc>
        <w:tc>
          <w:tcPr>
            <w:tcW w:type="dxa" w:w="30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Focus &amp; strengths</w:t>
            </w:r>
          </w:p>
        </w:tc>
        <w:tc>
          <w:tcPr>
            <w:tcW w:type="dxa" w:w="3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Notable (2026)</w:t>
            </w:r>
          </w:p>
        </w:tc>
      </w:tr>
      <w:tr>
        <w:tc>
          <w:tcPr>
            <w:tcW w:type="dxa" w:w="1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SAMA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2015, Bengaluru</w:t>
            </w:r>
          </w:p>
        </w:tc>
        <w:tc>
          <w:tcPr>
            <w:tcW w:type="dxa" w:w="30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High-volume banking, NBFC, insurance, e-commerce, civil; deep neutral network; embedded enterprise model</w:t>
            </w:r>
          </w:p>
        </w:tc>
        <w:tc>
          <w:tcPr>
            <w:tcW w:type="dxa" w:w="3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35 lakh+ disputes; 3,000+ neutrals, 500+ districts; ICICI Bank 1,800+ cases in 30 days; OCR/computer-vision evidence review; public API; ISO 27001, India-hosted.</w:t>
            </w:r>
          </w:p>
        </w:tc>
      </w:tr>
      <w:tr>
        <w:tc>
          <w:tcPr>
            <w:tcW w:type="dxa" w:w="1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Presolv360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2017, Mumbai</w:t>
            </w:r>
          </w:p>
        </w:tc>
        <w:tc>
          <w:tcPr>
            <w:tcW w:type="dxa" w:w="30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Tech-first arbitration/mediation; commercial, MSME, fintech, loan-default; brand &amp; training</w:t>
            </w:r>
          </w:p>
        </w:tc>
        <w:tc>
          <w:tcPr>
            <w:tcW w:type="dxa" w:w="3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Series A ~$4.7M (Elevation Capital, 2025) + earlier seed; AI-driven; runs an ODR training academy; bespoke/quote pricing.</w:t>
            </w:r>
          </w:p>
        </w:tc>
      </w:tr>
      <w:tr>
        <w:tc>
          <w:tcPr>
            <w:tcW w:type="dxa" w:w="1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Jupitice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India</w:t>
            </w:r>
          </w:p>
        </w:tc>
        <w:tc>
          <w:tcPr>
            <w:tcW w:type="dxa" w:w="30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End-to-end ‘private digital court’; AI &amp; blockchain; wider legal-tech suite (CLM, SARFAESI, compliance)</w:t>
            </w:r>
          </w:p>
        </w:tc>
        <w:tc>
          <w:tcPr>
            <w:tcW w:type="dxa" w:w="3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Court-enforceable awards marketed as valid in 166–171 countries within 30 days; ‘Lok Adalat as a Service’ — 7 Digital Lok Adalats for Rajasthan/Maharashtra with NALSA/SLSA.</w:t>
            </w:r>
          </w:p>
        </w:tc>
      </w:tr>
      <w:tr>
        <w:tc>
          <w:tcPr>
            <w:tcW w:type="dxa" w:w="1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CORD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India</w:t>
            </w:r>
          </w:p>
        </w:tc>
        <w:tc>
          <w:tcPr>
            <w:tcW w:type="dxa" w:w="30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Professional mediation/arbitration/conciliation; sector-specific rulebooks</w:t>
            </w:r>
          </w:p>
        </w:tc>
        <w:tc>
          <w:tcPr>
            <w:tcW w:type="dxa" w:w="3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Empanelled for NSE &amp; NCDEX securities disputes; an online arbitral award upheld in court; sector rulebooks (NBFC, tenancy, employment, insurance, e-commerce, MSME, consumer, healthcare).</w:t>
            </w:r>
          </w:p>
        </w:tc>
      </w:tr>
      <w:tr>
        <w:tc>
          <w:tcPr>
            <w:tcW w:type="dxa" w:w="1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Webnyay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Delhi</w:t>
            </w:r>
          </w:p>
        </w:tc>
        <w:tc>
          <w:tcPr>
            <w:tcW w:type="dxa" w:w="30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End-to-end for courts, institutions, govt, business; B2B &amp; B2C; AI-driven</w:t>
            </w:r>
          </w:p>
        </w:tc>
        <w:tc>
          <w:tcPr>
            <w:tcW w:type="dxa" w:w="3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Sole IFSCA-authorised ODR provider in GIFT City.</w:t>
            </w:r>
          </w:p>
        </w:tc>
      </w:tr>
      <w:tr>
        <w:tc>
          <w:tcPr>
            <w:tcW w:type="dxa" w:w="1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CADRE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2019/20, Bengaluru</w:t>
            </w:r>
          </w:p>
        </w:tc>
        <w:tc>
          <w:tcPr>
            <w:tcW w:type="dxa" w:w="30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Sector-specific (MSME, logistics, real estate, SaaS); multi-channel (WhatsApp/SMS/video)</w:t>
            </w:r>
          </w:p>
        </w:tc>
        <w:tc>
          <w:tcPr>
            <w:tcW w:type="dxa" w:w="3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Partners incl. India SME Forum, LegalPay.</w:t>
            </w:r>
          </w:p>
        </w:tc>
      </w:tr>
      <w:tr>
        <w:tc>
          <w:tcPr>
            <w:tcW w:type="dxa" w:w="1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Online Legal India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India</w:t>
            </w:r>
          </w:p>
        </w:tc>
        <w:tc>
          <w:tcPr>
            <w:tcW w:type="dxa" w:w="30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Mass-market legal services + ODR; registered arbitrators/mediators</w:t>
            </w:r>
          </w:p>
        </w:tc>
        <w:tc>
          <w:tcPr>
            <w:tcW w:type="dxa" w:w="3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4"/>
                <w:szCs w:val="14"/>
              </w:rPr>
              <w:t xml:space="preserve">Broad consumer reach.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3.1.1 Competitor profiles — what matters for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7ED" w:sz="1"/>
              <w:left w:val="single" w:color="B45309" w:sz="24"/>
              <w:bottom w:val="single" w:color="FFF7ED" w:sz="1"/>
              <w:right w:val="single" w:color="FFF7ED" w:sz="1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B2A4A"/>
                <w:sz w:val="20"/>
                <w:szCs w:val="20"/>
              </w:rPr>
              <w:t xml:space="preserve">SAMA — the volume leader and the one to beat on NBFC</w:t>
            </w:r>
          </w:p>
          <w:p>
            <w:pPr>
              <w:spacing w:after="0"/>
            </w:pPr>
            <w:r>
              <w:rPr>
                <w:color w:val="1F2937"/>
                <w:sz w:val="19"/>
                <w:szCs w:val="19"/>
              </w:rPr>
              <w:t xml:space="preserve">The clear scale leader (35 lakh+ disputes) and the strongest at the embedded-enterprise model — resolving 1,800+ ICICI Bank cases in 30 days. It competes as infrastructure, not just a service: a published API, OCR/computer-vision evidence review and document-led filing. Implication for Equator: on the NBFC/volume pillar, SAMA is beatable only with a sharp wedge (document-AI parity + transparent pricing + a warm lender design-partner), not by breadth alone.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F8FB" w:sz="1"/>
              <w:left w:val="single" w:color="1F6FB2" w:sz="24"/>
              <w:bottom w:val="single" w:color="F4F8FB" w:sz="1"/>
              <w:right w:val="single" w:color="F4F8FB" w:sz="1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B2A4A"/>
                <w:sz w:val="20"/>
                <w:szCs w:val="20"/>
              </w:rPr>
              <w:t xml:space="preserve">Presolv360 — the funded, brand-led player (and an Academy competitor)</w:t>
            </w:r>
          </w:p>
          <w:p>
            <w:pPr>
              <w:spacing w:after="0"/>
            </w:pPr>
            <w:r>
              <w:rPr>
                <w:color w:val="1F2937"/>
                <w:sz w:val="19"/>
                <w:szCs w:val="19"/>
              </w:rPr>
              <w:t xml:space="preserve">~$4.7M Series A (Elevation Capital, 2025), tech- and AI-first, strong on commercial/MSME/fintech/securities. It already runs an ODR training academy — directly contesting Equator's Academy idea. Pricing is bespoke/quote-based. Implication: position Equator's Academy as the on-ramp to empanelment (train → certify → empanel → live cases), which a standalone training arm does not obviously own.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F8FB" w:sz="1"/>
              <w:left w:val="single" w:color="1F6FB2" w:sz="24"/>
              <w:bottom w:val="single" w:color="F4F8FB" w:sz="1"/>
              <w:right w:val="single" w:color="F4F8FB" w:sz="1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B2A4A"/>
                <w:sz w:val="20"/>
                <w:szCs w:val="20"/>
              </w:rPr>
              <w:t xml:space="preserve">Jupitice — the ‘private digital court’ pioneer and government-channel mover</w:t>
            </w:r>
          </w:p>
          <w:p>
            <w:pPr>
              <w:spacing w:after="0"/>
            </w:pPr>
            <w:r>
              <w:rPr>
                <w:color w:val="1F2937"/>
                <w:sz w:val="19"/>
                <w:szCs w:val="19"/>
              </w:rPr>
              <w:t xml:space="preserve">Your most direct conceptual overlap (private digital court), now extended into ‘Lok Adalat as a Service’ with NALSA/SLSA backing (7 Digital Lok Adalats for Rajasthan and Maharashtra) and a broad legal-tech suite. Implication: the government/Lok-Adalat channel is a large, defensible volume pool Equator has not yet architected for — a deliberate decision to contest it (or not) is required.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F8FB" w:sz="1"/>
              <w:left w:val="single" w:color="1F6FB2" w:sz="24"/>
              <w:bottom w:val="single" w:color="F4F8FB" w:sz="1"/>
              <w:right w:val="single" w:color="F4F8FB" w:sz="1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B2A4A"/>
                <w:sz w:val="20"/>
                <w:szCs w:val="20"/>
              </w:rPr>
              <w:t xml:space="preserve">CORD — the regulatory-credibility play (its playbook is the one to copy)</w:t>
            </w:r>
          </w:p>
          <w:p>
            <w:pPr>
              <w:spacing w:after="0"/>
            </w:pPr>
            <w:r>
              <w:rPr>
                <w:color w:val="1F2937"/>
                <w:sz w:val="19"/>
                <w:szCs w:val="19"/>
              </w:rPr>
              <w:t xml:space="preserve">Smaller than SAMA but deeply credible: empanelled for NSE and NCDEX, an online arbitral award upheld in court, and sector-specific rulebooks (NBFC, tenancy, employment, insurance, e-commerce, MSME, consumer, healthcare). Implication: two moves to copy — make ‘first award upheld in court’ an explicit early milestone and PR moment, and ship configurable rulesets as named, sector-specific rulebooks rather than abstract ‘configurability’.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3.2 The decisive shift: ODR is now regulator-mandated, not just sold</w:t>
      </w:r>
    </w:p>
    <w:p>
      <w:pPr>
        <w:spacing w:after="140" w:line="276"/>
      </w:pPr>
      <w:r>
        <w:t xml:space="preserve">The most important change since the category's early years is that large segments of demand are now compelled by regulators rather than persuaded by vendors. This converts ODR from a hard sell into captive volume — and it is the tailwind every Indian player is now riding.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700"/>
        <w:gridCol w:w="3560"/>
      </w:tblGrid>
      <w:tr>
        <w:trPr>
          <w:tblHeader/>
        </w:trPr>
        <w:tc>
          <w:tcPr>
            <w:tcW w:type="dxa" w:w="3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Mandate / source</w:t>
            </w:r>
          </w:p>
        </w:tc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Who is compelled</w:t>
            </w:r>
          </w:p>
        </w:tc>
        <w:tc>
          <w:tcPr>
            <w:tcW w:type="dxa" w:w="35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Effect</w:t>
            </w:r>
          </w:p>
        </w:tc>
      </w:tr>
      <w:tr>
        <w:tc>
          <w:tcPr>
            <w:tcW w:type="dxa" w:w="3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RBI ODR for payment-system operators (2020→)</w:t>
            </w:r>
          </w:p>
        </w:tc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All authorised PSOs</w:t>
            </w:r>
          </w:p>
        </w:tc>
        <w:tc>
          <w:tcPr>
            <w:tcW w:type="dxa" w:w="35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Must operate ODR for payment disputes.</w:t>
            </w:r>
          </w:p>
        </w:tc>
      </w:tr>
      <w:tr>
        <w:tc>
          <w:tcPr>
            <w:tcW w:type="dxa" w:w="3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NPCI ODR for UPI (Apr 2022→)</w:t>
            </w:r>
          </w:p>
        </w:tc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All UPI participants</w:t>
            </w:r>
          </w:p>
        </w:tc>
        <w:tc>
          <w:tcPr>
            <w:tcW w:type="dxa" w:w="35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Mandatory ODR for failed-transaction grievances — enormous volume.</w:t>
            </w:r>
          </w:p>
        </w:tc>
      </w:tr>
      <w:tr>
        <w:tc>
          <w:tcPr>
            <w:tcW w:type="dxa" w:w="3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SEBI SMART ODR (2023→)</w:t>
            </w:r>
          </w:p>
        </w:tc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Securities-market participants</w:t>
            </w:r>
          </w:p>
        </w:tc>
        <w:tc>
          <w:tcPr>
            <w:tcW w:type="dxa" w:w="35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Common ODR portal; conciliation→arbitration ladder.</w:t>
            </w:r>
          </w:p>
        </w:tc>
      </w:tr>
      <w:tr>
        <w:tc>
          <w:tcPr>
            <w:tcW w:type="dxa" w:w="3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RBI Digital Lending Directions (2025)</w:t>
            </w:r>
          </w:p>
        </w:tc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Lenders / LSPs</w:t>
            </w:r>
          </w:p>
        </w:tc>
        <w:tc>
          <w:tcPr>
            <w:tcW w:type="dxa" w:w="35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Grievance redressal duties; 30-day SLA; escalation.</w:t>
            </w:r>
          </w:p>
        </w:tc>
      </w:tr>
      <w:tr>
        <w:tc>
          <w:tcPr>
            <w:tcW w:type="dxa" w:w="3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Mediation Act 2023; Consumer ODR push</w:t>
            </w:r>
          </w:p>
        </w:tc>
        <w:tc>
          <w:tcPr>
            <w:tcW w:type="dxa" w:w="2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Broad</w:t>
            </w:r>
          </w:p>
        </w:tc>
        <w:tc>
          <w:tcPr>
            <w:tcW w:type="dxa" w:w="35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Institutional/online mediation; consumer redress.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F1F0" w:sz="1"/>
              <w:left w:val="single" w:color="0E7C7B" w:sz="24"/>
              <w:bottom w:val="single" w:color="E3F1F0" w:sz="1"/>
              <w:right w:val="single" w:color="E3F1F0" w:sz="1"/>
            </w:tcBorders>
            <w:shd w:fill="E3F1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B2A4A"/>
                <w:sz w:val="20"/>
                <w:szCs w:val="20"/>
              </w:rPr>
              <w:t xml:space="preserve">Read-through for Equator</w:t>
            </w:r>
          </w:p>
          <w:p>
            <w:pPr>
              <w:spacing w:after="0"/>
            </w:pPr>
            <w:r>
              <w:rPr>
                <w:color w:val="1F2937"/>
                <w:sz w:val="19"/>
                <w:szCs w:val="19"/>
              </w:rPr>
              <w:t xml:space="preserve">Demand for the NBFC/payments pillar is increasingly mandated, not discretionary — which favours whoever offers the lowest-friction embedded experience (API, document-AI, transparent pricing) to regulated entities that simply must comply. This strengthens the case for leading with the embedded-NBFC wedge.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3.3 Global — reference players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3360"/>
        <w:gridCol w:w="2800"/>
      </w:tblGrid>
      <w:tr>
        <w:trPr>
          <w:tblHeader/>
        </w:trPr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Player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Region</w:t>
            </w:r>
          </w:p>
        </w:tc>
        <w:tc>
          <w:tcPr>
            <w:tcW w:type="dxa" w:w="3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Focus &amp; strengths</w:t>
            </w:r>
          </w:p>
        </w:tc>
        <w:tc>
          <w:tcPr>
            <w:tcW w:type="dxa" w:w="2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Notable</w:t>
            </w:r>
          </w:p>
        </w:tc>
      </w:tr>
      <w:tr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Tyler Technologies / Modria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USA</w:t>
            </w:r>
          </w:p>
        </w:tc>
        <w:tc>
          <w:tcPr>
            <w:tcW w:type="dxa" w:w="3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Court-embedded ODR; AI-assisted; public-sector scale</w:t>
            </w:r>
          </w:p>
        </w:tc>
        <w:tc>
          <w:tcPr>
            <w:tcW w:type="dxa" w:w="2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Modria in Odyssey CMS; deployed across many US states; &gt;1M cases.</w:t>
            </w:r>
          </w:p>
        </w:tc>
      </w:tr>
      <w:tr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American Arbitration Association / ICDR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USA/Global</w:t>
            </w:r>
          </w:p>
        </w:tc>
        <w:tc>
          <w:tcPr>
            <w:tcW w:type="dxa" w:w="3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Premier arbitration/mediation institution; ODR workflows</w:t>
            </w:r>
          </w:p>
        </w:tc>
        <w:tc>
          <w:tcPr>
            <w:tcW w:type="dxa" w:w="2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230k+ cases/yr; acquired ODR.com &amp; Mediate.com (2024).</w:t>
            </w:r>
          </w:p>
        </w:tc>
      </w:tr>
      <w:tr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Matterhorn (Court Innovations)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USA</w:t>
            </w:r>
          </w:p>
        </w:tc>
        <w:tc>
          <w:tcPr>
            <w:tcW w:type="dxa" w:w="3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Court ODR for traffic, small-claims, family</w:t>
            </w:r>
          </w:p>
        </w:tc>
        <w:tc>
          <w:tcPr>
            <w:tcW w:type="dxa" w:w="2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35k+ cases; ~14-day avg closure.</w:t>
            </w:r>
          </w:p>
        </w:tc>
      </w:tr>
      <w:tr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FairClaims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USA</w:t>
            </w:r>
          </w:p>
        </w:tc>
        <w:tc>
          <w:tcPr>
            <w:tcW w:type="dxa" w:w="3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Small-claims arbitration/mediation; marketplace disputes</w:t>
            </w:r>
          </w:p>
        </w:tc>
        <w:tc>
          <w:tcPr>
            <w:tcW w:type="dxa" w:w="2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Flat-fee filings; async “FairChat”; Airbnb/Turo.</w:t>
            </w:r>
          </w:p>
        </w:tc>
      </w:tr>
      <w:tr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ODR.com / Mediate.com (AAA)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USA/Global</w:t>
            </w:r>
          </w:p>
        </w:tc>
        <w:tc>
          <w:tcPr>
            <w:tcW w:type="dxa" w:w="3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Family &amp; general ODR; AI-assisted family DR</w:t>
            </w:r>
          </w:p>
        </w:tc>
        <w:tc>
          <w:tcPr>
            <w:tcW w:type="dxa" w:w="2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Mobile-optimised; generates settlement docs.</w:t>
            </w:r>
          </w:p>
        </w:tc>
      </w:tr>
      <w:tr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SIMC / SIAC, ICC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Singapore/Global</w:t>
            </w:r>
          </w:p>
        </w:tc>
        <w:tc>
          <w:tcPr>
            <w:tcW w:type="dxa" w:w="3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Institutional mediation/arbitration; cross-border</w:t>
            </w:r>
          </w:p>
        </w:tc>
        <w:tc>
          <w:tcPr>
            <w:tcW w:type="dxa" w:w="2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Rulebooks and conventions Equator can align rulesets to.</w:t>
            </w:r>
          </w:p>
        </w:tc>
      </w:tr>
      <w:tr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Smartsettle / Immediation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Canada/Australia</w:t>
            </w:r>
          </w:p>
        </w:tc>
        <w:tc>
          <w:tcPr>
            <w:tcW w:type="dxa" w:w="3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AI-assisted negotiation &amp; mediation engines</w:t>
            </w:r>
          </w:p>
        </w:tc>
        <w:tc>
          <w:tcPr>
            <w:tcW w:type="dxa" w:w="2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The ‘AI settles it’ frontier — adopted by legal-services &amp; e-commerce.</w:t>
            </w:r>
          </w:p>
        </w:tc>
      </w:tr>
      <w:tr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Resolver / FairClaims / Juripax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US/EU</w:t>
            </w:r>
          </w:p>
        </w:tc>
        <w:tc>
          <w:tcPr>
            <w:tcW w:type="dxa" w:w="3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E-commerce &amp; small-claims ODR; AI-assisted</w:t>
            </w:r>
          </w:p>
        </w:tc>
        <w:tc>
          <w:tcPr>
            <w:tcW w:type="dxa" w:w="2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Flat-fee, high-volume consumer dispute resolution.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F8FB" w:sz="1"/>
              <w:left w:val="single" w:color="1F6FB2" w:sz="24"/>
              <w:bottom w:val="single" w:color="F4F8FB" w:sz="1"/>
              <w:right w:val="single" w:color="F4F8FB" w:sz="1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B2A4A"/>
                <w:sz w:val="20"/>
                <w:szCs w:val="20"/>
              </w:rPr>
              <w:t xml:space="preserve">The emerging frontier: AI-powered settlement</w:t>
            </w:r>
          </w:p>
          <w:p>
            <w:pPr>
              <w:spacing w:after="0"/>
            </w:pPr>
            <w:r>
              <w:rPr>
                <w:color w:val="1F2937"/>
                <w:sz w:val="19"/>
                <w:szCs w:val="19"/>
              </w:rPr>
              <w:t xml:space="preserve">Analysts now track ‘AI-powered mediation’ as its own category. Global players (Smartsettle, Immediation) are winning by automating the settlement itself — blind-bidding, range suggestion, facilitated negotiation — where the parties still consent. Equator's ‘advisory-only’ stance is correct for adjudication but should lean in hard here for the money pillars (rec 7), or risk looking conservative against this wave.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8" w:sz="1"/>
              <w:left w:val="single" w:color="0E7C7B" w:sz="24"/>
              <w:bottom w:val="single" w:color="EAF2F8" w:sz="1"/>
              <w:right w:val="single" w:color="EAF2F8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B2A4A"/>
                <w:sz w:val="20"/>
                <w:szCs w:val="20"/>
              </w:rPr>
              <w:t xml:space="preserve">Two patterns worth copying</w:t>
            </w:r>
          </w:p>
          <w:p>
            <w:pPr>
              <w:spacing w:after="0"/>
            </w:pPr>
            <w:r>
              <w:rPr>
                <w:color w:val="1F2937"/>
                <w:sz w:val="19"/>
                <w:szCs w:val="19"/>
              </w:rPr>
              <w:t xml:space="preserve">(1) Court/regulator embedding (Modria, SMART ODR) drives durable volume — pursue regulator-aligned and lender-embedded intake. (2) Institutional acquisition of channels (AAA buying ODR.com/Mediate.com) shows consolidation; Equator's multi-segment + infrastructure posture is a hedge against being a single-feature target.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Feature &amp; Capability Comparison</w:t>
      </w:r>
    </w:p>
    <w:p>
      <w:pPr>
        <w:spacing w:after="140" w:line="276"/>
      </w:pPr>
      <w:r>
        <w:t xml:space="preserve">A capability matrix comparing typical market coverage against Equator's intended scope. “Common” = several players offer it; “Rare” = few do; Equator's column states the intended position.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860"/>
        <w:gridCol w:w="3200"/>
      </w:tblGrid>
      <w:tr>
        <w:trPr>
          <w:tblHeader/>
        </w:trPr>
        <w:tc>
          <w:tcPr>
            <w:tcW w:type="dxa" w:w="3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28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Market coverage</w:t>
            </w:r>
          </w:p>
        </w:tc>
        <w:tc>
          <w:tcPr>
            <w:tcW w:type="dxa" w:w="3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Equator's intended position</w:t>
            </w:r>
          </w:p>
        </w:tc>
      </w:tr>
      <w:tr>
        <w:tc>
          <w:tcPr>
            <w:tcW w:type="dxa" w:w="3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Online mediation</w:t>
            </w:r>
          </w:p>
        </w:tc>
        <w:tc>
          <w:tcPr>
            <w:tcW w:type="dxa" w:w="28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Common</w:t>
            </w:r>
          </w:p>
        </w:tc>
        <w:tc>
          <w:tcPr>
            <w:tcW w:type="dxa" w:w="3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Core — all pillars, sensitivity-aware.</w:t>
            </w:r>
          </w:p>
        </w:tc>
      </w:tr>
      <w:tr>
        <w:tc>
          <w:tcPr>
            <w:tcW w:type="dxa" w:w="3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Online arbitration (reasoned awards)</w:t>
            </w:r>
          </w:p>
        </w:tc>
        <w:tc>
          <w:tcPr>
            <w:tcW w:type="dxa" w:w="28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Common</w:t>
            </w:r>
          </w:p>
        </w:tc>
        <w:tc>
          <w:tcPr>
            <w:tcW w:type="dxa" w:w="3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Core — tribunal workflows, S.29A clock.</w:t>
            </w:r>
          </w:p>
        </w:tc>
      </w:tr>
      <w:tr>
        <w:tc>
          <w:tcPr>
            <w:tcW w:type="dxa" w:w="3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Conciliation / negotiation ladder</w:t>
            </w:r>
          </w:p>
        </w:tc>
        <w:tc>
          <w:tcPr>
            <w:tcW w:type="dxa" w:w="28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Common (esp. lending/securities)</w:t>
            </w:r>
          </w:p>
        </w:tc>
        <w:tc>
          <w:tcPr>
            <w:tcW w:type="dxa" w:w="3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Core — SMART-ODR-style escalation.</w:t>
            </w:r>
          </w:p>
        </w:tc>
      </w:tr>
      <w:tr>
        <w:tc>
          <w:tcPr>
            <w:tcW w:type="dxa" w:w="3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Marital / family mediation</w:t>
            </w:r>
          </w:p>
        </w:tc>
        <w:tc>
          <w:tcPr>
            <w:tcW w:type="dxa" w:w="28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Rare in India (common globally)</w:t>
            </w:r>
          </w:p>
        </w:tc>
        <w:tc>
          <w:tcPr>
            <w:tcW w:type="dxa" w:w="3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Core differentiator — parenting plans, MSA.</w:t>
            </w:r>
          </w:p>
        </w:tc>
      </w:tr>
      <w:tr>
        <w:tc>
          <w:tcPr>
            <w:tcW w:type="dxa" w:w="3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NBFC bulk intake + lender APIs</w:t>
            </w:r>
          </w:p>
        </w:tc>
        <w:tc>
          <w:tcPr>
            <w:tcW w:type="dxa" w:w="28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Some (Presolv360, SAMA)</w:t>
            </w:r>
          </w:p>
        </w:tc>
        <w:tc>
          <w:tcPr>
            <w:tcW w:type="dxa" w:w="3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Core — bulk/clause/API at scale.</w:t>
            </w:r>
          </w:p>
        </w:tc>
      </w:tr>
      <w:tr>
        <w:tc>
          <w:tcPr>
            <w:tcW w:type="dxa" w:w="3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Enterprise grievance + POSH</w:t>
            </w:r>
          </w:p>
        </w:tc>
        <w:tc>
          <w:tcPr>
            <w:tcW w:type="dxa" w:w="28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Rare as integrated product</w:t>
            </w:r>
          </w:p>
        </w:tc>
        <w:tc>
          <w:tcPr>
            <w:tcW w:type="dxa" w:w="3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Differentiator — IC workspace + EDRS escalation.</w:t>
            </w:r>
          </w:p>
        </w:tc>
      </w:tr>
      <w:tr>
        <w:tc>
          <w:tcPr>
            <w:tcW w:type="dxa" w:w="3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Neutral “Private Court” (self-managed)</w:t>
            </w:r>
          </w:p>
        </w:tc>
        <w:tc>
          <w:tcPr>
            <w:tcW w:type="dxa" w:w="28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Rare (Jupitice)</w:t>
            </w:r>
          </w:p>
        </w:tc>
        <w:tc>
          <w:tcPr>
            <w:tcW w:type="dxa" w:w="3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Core — first-class product on shared rails.</w:t>
            </w:r>
          </w:p>
        </w:tc>
      </w:tr>
      <w:tr>
        <w:tc>
          <w:tcPr>
            <w:tcW w:type="dxa" w:w="3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Academy / certification</w:t>
            </w:r>
          </w:p>
        </w:tc>
        <w:tc>
          <w:tcPr>
            <w:tcW w:type="dxa" w:w="28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Some (SAMA, Presolv360 courses)</w:t>
            </w:r>
          </w:p>
        </w:tc>
        <w:tc>
          <w:tcPr>
            <w:tcW w:type="dxa" w:w="3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Core — supply funnel + revenue.</w:t>
            </w:r>
          </w:p>
        </w:tc>
      </w:tr>
      <w:tr>
        <w:tc>
          <w:tcPr>
            <w:tcW w:type="dxa" w:w="3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AI assistance (triage/summarise/draft)</w:t>
            </w:r>
          </w:p>
        </w:tc>
        <w:tc>
          <w:tcPr>
            <w:tcW w:type="dxa" w:w="28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Growing (~44%)</w:t>
            </w:r>
          </w:p>
        </w:tc>
        <w:tc>
          <w:tcPr>
            <w:tcW w:type="dxa" w:w="3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Core — advisory, human-in-loop.</w:t>
            </w:r>
          </w:p>
        </w:tc>
      </w:tr>
      <w:tr>
        <w:tc>
          <w:tcPr>
            <w:tcW w:type="dxa" w:w="3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Immutable audit / blockchain integrity</w:t>
            </w:r>
          </w:p>
        </w:tc>
        <w:tc>
          <w:tcPr>
            <w:tcW w:type="dxa" w:w="28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~39%</w:t>
            </w:r>
          </w:p>
        </w:tc>
        <w:tc>
          <w:tcPr>
            <w:tcW w:type="dxa" w:w="3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Core — hash-chained audit; optional anchoring.</w:t>
            </w:r>
          </w:p>
        </w:tc>
      </w:tr>
      <w:tr>
        <w:tc>
          <w:tcPr>
            <w:tcW w:type="dxa" w:w="3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Multi-jurisdiction (global)</w:t>
            </w:r>
          </w:p>
        </w:tc>
        <w:tc>
          <w:tcPr>
            <w:tcW w:type="dxa" w:w="28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Rare among India players</w:t>
            </w:r>
          </w:p>
        </w:tc>
        <w:tc>
          <w:tcPr>
            <w:tcW w:type="dxa" w:w="3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Architected-in via rulesets.</w:t>
            </w:r>
          </w:p>
        </w:tc>
      </w:tr>
      <w:tr>
        <w:tc>
          <w:tcPr>
            <w:tcW w:type="dxa" w:w="3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e-sign + e-stamp + enforceability</w:t>
            </w:r>
          </w:p>
        </w:tc>
        <w:tc>
          <w:tcPr>
            <w:tcW w:type="dxa" w:w="28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Common</w:t>
            </w:r>
          </w:p>
        </w:tc>
        <w:tc>
          <w:tcPr>
            <w:tcW w:type="dxa" w:w="3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Core — certified e-sign, e-stamp.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4.1 Head-to-head matrix (named competitors)</w:t>
      </w:r>
    </w:p>
    <w:p>
      <w:pPr>
        <w:spacing w:after="140" w:line="276"/>
      </w:pPr>
      <w:r>
        <w:t xml:space="preserve">How the leading Indian players compare on the dimensions that decide deals. ✔ = strong/present, ~ = partial/emerging, ✖ = not a focus. Based on public information (June 2026); treat as directional.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900"/>
        <w:gridCol w:w="1200"/>
        <w:gridCol w:w="1100"/>
        <w:gridCol w:w="1100"/>
        <w:gridCol w:w="2160"/>
      </w:tblGrid>
      <w:tr>
        <w:trPr>
          <w:tblHeader/>
        </w:trPr>
        <w:tc>
          <w:tcPr>
            <w:tcW w:type="dxa" w:w="2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Capability</w:t>
            </w:r>
          </w:p>
        </w:tc>
        <w:tc>
          <w:tcPr>
            <w:tcW w:type="dxa" w:w="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SAMA</w:t>
            </w:r>
          </w:p>
        </w:tc>
        <w:tc>
          <w:tcPr>
            <w:tcW w:type="dxa" w:w="1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Presolv360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Jupitice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CORD</w:t>
            </w:r>
          </w:p>
        </w:tc>
        <w:tc>
          <w:tcPr>
            <w:tcW w:type="dxa" w:w="21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Equator (intended)</w:t>
            </w:r>
          </w:p>
        </w:tc>
      </w:tr>
      <w:tr>
        <w:tc>
          <w:tcPr>
            <w:tcW w:type="dxa" w:w="2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NBFC / banking volume</w:t>
            </w:r>
          </w:p>
        </w:tc>
        <w:tc>
          <w:tcPr>
            <w:tcW w:type="dxa" w:w="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✔</w:t>
            </w:r>
          </w:p>
        </w:tc>
        <w:tc>
          <w:tcPr>
            <w:tcW w:type="dxa" w:w="1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✔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~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~</w:t>
            </w:r>
          </w:p>
        </w:tc>
        <w:tc>
          <w:tcPr>
            <w:tcW w:type="dxa" w:w="21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✔ core</w:t>
            </w:r>
          </w:p>
        </w:tc>
      </w:tr>
      <w:tr>
        <w:tc>
          <w:tcPr>
            <w:tcW w:type="dxa" w:w="2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Document-AI (OCR / extraction)</w:t>
            </w:r>
          </w:p>
        </w:tc>
        <w:tc>
          <w:tcPr>
            <w:tcW w:type="dxa" w:w="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✔</w:t>
            </w:r>
          </w:p>
        </w:tc>
        <w:tc>
          <w:tcPr>
            <w:tcW w:type="dxa" w:w="1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~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~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✖</w:t>
            </w:r>
          </w:p>
        </w:tc>
        <w:tc>
          <w:tcPr>
            <w:tcW w:type="dxa" w:w="21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✔ (planned, rec 2)</w:t>
            </w:r>
          </w:p>
        </w:tc>
      </w:tr>
      <w:tr>
        <w:tc>
          <w:tcPr>
            <w:tcW w:type="dxa" w:w="2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Public API / embed</w:t>
            </w:r>
          </w:p>
        </w:tc>
        <w:tc>
          <w:tcPr>
            <w:tcW w:type="dxa" w:w="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✔</w:t>
            </w:r>
          </w:p>
        </w:tc>
        <w:tc>
          <w:tcPr>
            <w:tcW w:type="dxa" w:w="1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~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~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✖</w:t>
            </w:r>
          </w:p>
        </w:tc>
        <w:tc>
          <w:tcPr>
            <w:tcW w:type="dxa" w:w="21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✔ core</w:t>
            </w:r>
          </w:p>
        </w:tc>
      </w:tr>
      <w:tr>
        <w:tc>
          <w:tcPr>
            <w:tcW w:type="dxa" w:w="2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Securities (NSE/SEBI) credibility</w:t>
            </w:r>
          </w:p>
        </w:tc>
        <w:tc>
          <w:tcPr>
            <w:tcW w:type="dxa" w:w="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~</w:t>
            </w:r>
          </w:p>
        </w:tc>
        <w:tc>
          <w:tcPr>
            <w:tcW w:type="dxa" w:w="1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✔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~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✔</w:t>
            </w:r>
          </w:p>
        </w:tc>
        <w:tc>
          <w:tcPr>
            <w:tcW w:type="dxa" w:w="21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~ (target)</w:t>
            </w:r>
          </w:p>
        </w:tc>
      </w:tr>
      <w:tr>
        <w:tc>
          <w:tcPr>
            <w:tcW w:type="dxa" w:w="2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Court-upheld award (proof point)</w:t>
            </w:r>
          </w:p>
        </w:tc>
        <w:tc>
          <w:tcPr>
            <w:tcW w:type="dxa" w:w="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~</w:t>
            </w:r>
          </w:p>
        </w:tc>
        <w:tc>
          <w:tcPr>
            <w:tcW w:type="dxa" w:w="1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~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~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✔</w:t>
            </w:r>
          </w:p>
        </w:tc>
        <w:tc>
          <w:tcPr>
            <w:tcW w:type="dxa" w:w="21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✔ milestone (rec 3)</w:t>
            </w:r>
          </w:p>
        </w:tc>
      </w:tr>
      <w:tr>
        <w:tc>
          <w:tcPr>
            <w:tcW w:type="dxa" w:w="2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Sector-specific rulebooks</w:t>
            </w:r>
          </w:p>
        </w:tc>
        <w:tc>
          <w:tcPr>
            <w:tcW w:type="dxa" w:w="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~</w:t>
            </w:r>
          </w:p>
        </w:tc>
        <w:tc>
          <w:tcPr>
            <w:tcW w:type="dxa" w:w="1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~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~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✔</w:t>
            </w:r>
          </w:p>
        </w:tc>
        <w:tc>
          <w:tcPr>
            <w:tcW w:type="dxa" w:w="21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✔ (rec 3)</w:t>
            </w:r>
          </w:p>
        </w:tc>
      </w:tr>
      <w:tr>
        <w:tc>
          <w:tcPr>
            <w:tcW w:type="dxa" w:w="2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Private digital court</w:t>
            </w:r>
          </w:p>
        </w:tc>
        <w:tc>
          <w:tcPr>
            <w:tcW w:type="dxa" w:w="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✖</w:t>
            </w:r>
          </w:p>
        </w:tc>
        <w:tc>
          <w:tcPr>
            <w:tcW w:type="dxa" w:w="1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✖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✔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✖</w:t>
            </w:r>
          </w:p>
        </w:tc>
        <w:tc>
          <w:tcPr>
            <w:tcW w:type="dxa" w:w="21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✔ core</w:t>
            </w:r>
          </w:p>
        </w:tc>
      </w:tr>
      <w:tr>
        <w:tc>
          <w:tcPr>
            <w:tcW w:type="dxa" w:w="2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Lok Adalat / govt channel</w:t>
            </w:r>
          </w:p>
        </w:tc>
        <w:tc>
          <w:tcPr>
            <w:tcW w:type="dxa" w:w="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✖</w:t>
            </w:r>
          </w:p>
        </w:tc>
        <w:tc>
          <w:tcPr>
            <w:tcW w:type="dxa" w:w="1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✖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✔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✖</w:t>
            </w:r>
          </w:p>
        </w:tc>
        <w:tc>
          <w:tcPr>
            <w:tcW w:type="dxa" w:w="21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~ (decision, rec 4)</w:t>
            </w:r>
          </w:p>
        </w:tc>
      </w:tr>
      <w:tr>
        <w:tc>
          <w:tcPr>
            <w:tcW w:type="dxa" w:w="2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Family / marital mediation</w:t>
            </w:r>
          </w:p>
        </w:tc>
        <w:tc>
          <w:tcPr>
            <w:tcW w:type="dxa" w:w="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~</w:t>
            </w:r>
          </w:p>
        </w:tc>
        <w:tc>
          <w:tcPr>
            <w:tcW w:type="dxa" w:w="1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✖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~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✖</w:t>
            </w:r>
          </w:p>
        </w:tc>
        <w:tc>
          <w:tcPr>
            <w:tcW w:type="dxa" w:w="21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✔ differentiator</w:t>
            </w:r>
          </w:p>
        </w:tc>
      </w:tr>
      <w:tr>
        <w:tc>
          <w:tcPr>
            <w:tcW w:type="dxa" w:w="2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Grievance + POSH (integrated)</w:t>
            </w:r>
          </w:p>
        </w:tc>
        <w:tc>
          <w:tcPr>
            <w:tcW w:type="dxa" w:w="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✖</w:t>
            </w:r>
          </w:p>
        </w:tc>
        <w:tc>
          <w:tcPr>
            <w:tcW w:type="dxa" w:w="1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✖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~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~</w:t>
            </w:r>
          </w:p>
        </w:tc>
        <w:tc>
          <w:tcPr>
            <w:tcW w:type="dxa" w:w="21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✔ differentiator</w:t>
            </w:r>
          </w:p>
        </w:tc>
      </w:tr>
      <w:tr>
        <w:tc>
          <w:tcPr>
            <w:tcW w:type="dxa" w:w="2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Academy → empanelment funnel</w:t>
            </w:r>
          </w:p>
        </w:tc>
        <w:tc>
          <w:tcPr>
            <w:tcW w:type="dxa" w:w="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~</w:t>
            </w:r>
          </w:p>
        </w:tc>
        <w:tc>
          <w:tcPr>
            <w:tcW w:type="dxa" w:w="1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~ (training only)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✖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✖</w:t>
            </w:r>
          </w:p>
        </w:tc>
        <w:tc>
          <w:tcPr>
            <w:tcW w:type="dxa" w:w="21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✔ (rec 6)</w:t>
            </w:r>
          </w:p>
        </w:tc>
      </w:tr>
      <w:tr>
        <w:tc>
          <w:tcPr>
            <w:tcW w:type="dxa" w:w="2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Transparent published pricing</w:t>
            </w:r>
          </w:p>
        </w:tc>
        <w:tc>
          <w:tcPr>
            <w:tcW w:type="dxa" w:w="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✖</w:t>
            </w:r>
          </w:p>
        </w:tc>
        <w:tc>
          <w:tcPr>
            <w:tcW w:type="dxa" w:w="1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✖ (quote)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✖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✖</w:t>
            </w:r>
          </w:p>
        </w:tc>
        <w:tc>
          <w:tcPr>
            <w:tcW w:type="dxa" w:w="21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✔ wedge (rec 5)</w:t>
            </w:r>
          </w:p>
        </w:tc>
      </w:tr>
      <w:tr>
        <w:tc>
          <w:tcPr>
            <w:tcW w:type="dxa" w:w="2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AI-facilitated settlement</w:t>
            </w:r>
          </w:p>
        </w:tc>
        <w:tc>
          <w:tcPr>
            <w:tcW w:type="dxa" w:w="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~</w:t>
            </w:r>
          </w:p>
        </w:tc>
        <w:tc>
          <w:tcPr>
            <w:tcW w:type="dxa" w:w="1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~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~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✖</w:t>
            </w:r>
          </w:p>
        </w:tc>
        <w:tc>
          <w:tcPr>
            <w:tcW w:type="dxa" w:w="21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✔ (rec 7)</w:t>
            </w:r>
          </w:p>
        </w:tc>
      </w:tr>
      <w:tr>
        <w:tc>
          <w:tcPr>
            <w:tcW w:type="dxa" w:w="2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Multi-segment breadth (all 4)</w:t>
            </w:r>
          </w:p>
        </w:tc>
        <w:tc>
          <w:tcPr>
            <w:tcW w:type="dxa" w:w="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~</w:t>
            </w:r>
          </w:p>
        </w:tc>
        <w:tc>
          <w:tcPr>
            <w:tcW w:type="dxa" w:w="1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~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~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~</w:t>
            </w:r>
          </w:p>
        </w:tc>
        <w:tc>
          <w:tcPr>
            <w:tcW w:type="dxa" w:w="21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3"/>
                <w:szCs w:val="13"/>
              </w:rPr>
              <w:t xml:space="preserve">✔ unique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8" w:sz="1"/>
              <w:left w:val="single" w:color="0E7C7B" w:sz="24"/>
              <w:bottom w:val="single" w:color="EAF2F8" w:sz="1"/>
              <w:right w:val="single" w:color="EAF2F8" w:sz="1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B2A4A"/>
                <w:sz w:val="20"/>
                <w:szCs w:val="20"/>
              </w:rPr>
              <w:t xml:space="preserve">What the matrix shows</w:t>
            </w:r>
          </w:p>
          <w:p>
            <w:pPr>
              <w:spacing w:after="0"/>
            </w:pPr>
            <w:r>
              <w:rPr>
                <w:color w:val="1F2937"/>
                <w:sz w:val="19"/>
                <w:szCs w:val="19"/>
              </w:rPr>
              <w:t xml:space="preserve">No competitor spans all four dispute pillars plus Private Court plus Academy — that breadth is Equator's unique column. But each competitor beats Equator in its lane today: SAMA on volume tech (document-AI, API), CORD on securities credibility and a court-upheld award, Jupitice on the private-court and government channel, Presolv360 on funding and brand. The strategy must therefore be sequencing — win one lane decisively first — not parity across all of them at once. The ‘rec’ tags map to the implemented enhancements that close the most important gaps.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7ED" w:sz="1"/>
              <w:left w:val="single" w:color="B45309" w:sz="24"/>
              <w:bottom w:val="single" w:color="FFF7ED" w:sz="1"/>
              <w:right w:val="single" w:color="FFF7ED" w:sz="1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B2A4A"/>
                <w:sz w:val="20"/>
                <w:szCs w:val="20"/>
              </w:rPr>
              <w:t xml:space="preserve">Where Equator must simply match (table stakes)</w:t>
            </w:r>
          </w:p>
          <w:p>
            <w:pPr>
              <w:spacing w:after="0"/>
            </w:pPr>
            <w:r>
              <w:rPr>
                <w:color w:val="1F2937"/>
                <w:sz w:val="19"/>
                <w:szCs w:val="19"/>
              </w:rPr>
              <w:t xml:space="preserve">Online mediation/arbitration, conciliation ladders, e-sign, video, payments, AI summarisation, and audit are now expected. These must be excellent but won't differentiate. Differentiation comes from breadth across segments + Private Court + grievance/POSH + Academy + multi-jurisdiction, delivered on one compliant core.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Industry Practices &amp; Patterns</w:t>
      </w:r>
    </w:p>
    <w:p>
      <w:pPr>
        <w:pStyle w:val="Heading2"/>
      </w:pPr>
      <w:r>
        <w:t xml:space="preserve">5.1 The escalation ladder is standard</w:t>
      </w:r>
    </w:p>
    <w:p>
      <w:pPr>
        <w:spacing w:after="140" w:line="276"/>
      </w:pPr>
      <w:r>
        <w:t xml:space="preserve">Across securities (SEBI SMART ODR) and lending, the dominant pattern is staged: direct resolution → pre-conciliation (often free) → conciliation (neutral allotted, frequently round-robin, within fixed days) → arbitration (binding). Fee schedules commonly differ by stage and outcome. Equator's NBFC and commercial pillars adopt this directly.</w:t>
      </w:r>
    </w:p>
    <w:p>
      <w:pPr>
        <w:pStyle w:val="Heading2"/>
      </w:pPr>
      <w:r>
        <w:t xml:space="preserve">5.2 Round-robin / rules-based neutral allocation</w:t>
      </w:r>
    </w:p>
    <w:p>
      <w:pPr>
        <w:spacing w:after="140" w:line="276"/>
      </w:pPr>
      <w:r>
        <w:t xml:space="preserve">Empanelled-neutral allocation on a round-robin basis (as in SMART ODR) is the norm for fairness and throughput; institutions publish empanelment norms and conflict-check requirements. Equator implements configurable allocation (round-robin, load-balanced, rules-based, manual).</w:t>
      </w:r>
    </w:p>
    <w:p>
      <w:pPr>
        <w:pStyle w:val="Heading2"/>
      </w:pPr>
      <w:r>
        <w:t xml:space="preserve">5.3 Single-window routing &amp; monitoring (grievance/POSH)</w:t>
      </w:r>
    </w:p>
    <w:p>
      <w:pPr>
        <w:spacing w:after="140" w:line="276"/>
      </w:pPr>
      <w:r>
        <w:t xml:space="preserve">SHe-Box established the pattern of a single-window complaint portal that auto-routes to the correct committee and provides a statutory-timeline monitoring layer. Equator's enterprise grievance module copies this, adding EDRS as a neutral escalation tier.</w:t>
      </w:r>
    </w:p>
    <w:p>
      <w:pPr>
        <w:pStyle w:val="Heading2"/>
      </w:pPr>
      <w:r>
        <w:t xml:space="preserve">5.4 Multi-channel access for inclusion</w:t>
      </w:r>
    </w:p>
    <w:p>
      <w:pPr>
        <w:spacing w:after="140" w:line="276"/>
      </w:pPr>
      <w:r>
        <w:t xml:space="preserve">Indian players (CADRE, SAMA) lean on WhatsApp/SMS/video and vernacular access to reach non-digital-native parties — essential for lending and consumer volume. Equator builds multilingual, low-bandwidth, multi-channel access in from the start.</w:t>
      </w:r>
    </w:p>
    <w:p>
      <w:pPr>
        <w:pStyle w:val="Heading2"/>
      </w:pPr>
      <w:r>
        <w:t xml:space="preserve">5.5 AI and audit-integrity are becoming standard</w:t>
      </w:r>
    </w:p>
    <w:p>
      <w:pPr>
        <w:spacing w:after="140" w:line="276"/>
      </w:pPr>
      <w:r>
        <w:t xml:space="preserve">Roughly 44% of platforms use AI negotiation/assist tools and ~39% use blockchain for integrity. The defensible posture is human-in-the-loop AI (assist, never decide) plus tamper-evident audit — exactly Equator's stance.</w:t>
      </w:r>
    </w:p>
    <w:p>
      <w:pPr>
        <w:pStyle w:val="Heading2"/>
      </w:pPr>
      <w:r>
        <w:t xml:space="preserve">5.6 Embedding and white-label drive volume</w:t>
      </w:r>
    </w:p>
    <w:p>
      <w:pPr>
        <w:spacing w:after="140" w:line="276"/>
      </w:pPr>
      <w:r>
        <w:t xml:space="preserve">Fintechs/NBFCs embed ODR into loan agreements and repayment flows; e-commerce players add ODR for refunds/chargebacks. Equator's API/embed/white-label LOB targets this directly, with the SMART-ODR escalation ladder as the reference flow.</w:t>
      </w:r>
    </w:p>
    <w:p>
      <w:r>
        <w:br w:type="page"/>
      </w:r>
    </w:p>
    <w:p>
      <w:pPr>
        <w:pStyle w:val="Heading1"/>
      </w:pPr>
      <w:r>
        <w:t xml:space="preserve">6. Positioning &amp; Strategy for Equator</w:t>
      </w:r>
    </w:p>
    <w:p>
      <w:pPr>
        <w:pStyle w:val="Heading2"/>
      </w:pPr>
      <w:r>
        <w:t xml:space="preserve">6.1 SWOT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Strengths</w:t>
            </w:r>
          </w:p>
        </w:tc>
        <w:tc>
          <w:tcPr>
            <w:tcW w:type="dxa" w:w="468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Weaknesses</w:t>
            </w:r>
          </w:p>
        </w:tc>
      </w:tr>
      <w:tr>
        <w:tc>
          <w:tcPr>
            <w:tcW w:type="dxa" w:w="468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Multi-segment scope (marital, NBFC, commercial, grievance/POSH).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Two-sided + infrastructure (EDRS + Private Court).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Academy seeds neutral supply.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Compliance-by-config; multi-jurisdiction-ready.</w:t>
            </w:r>
          </w:p>
        </w:tc>
        <w:tc>
          <w:tcPr>
            <w:tcW w:type="dxa" w:w="468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New entrant vs. funded incumbents (Presolv360, SAMA).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Breadth risks focus dilution if sequenced poorly.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Two-sided cold-start to overcome.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Heavy compliance surface across many regimes.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Opportunities</w:t>
            </w:r>
          </w:p>
        </w:tc>
        <w:tc>
          <w:tcPr>
            <w:tcW w:type="dxa" w:w="468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Threats</w:t>
            </w:r>
          </w:p>
        </w:tc>
      </w:tr>
      <w:tr>
        <w:tc>
          <w:tcPr>
            <w:tcW w:type="dxa" w:w="468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Marital &amp; POSH underserved as integrated ODR products.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NBFC volume via embedded/clause-driven intake.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Regulator alignment (RBI/SEBI/POSH) as a wedge.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Global expansion via rulesets; white-label.</w:t>
            </w:r>
          </w:p>
        </w:tc>
        <w:tc>
          <w:tcPr>
            <w:tcW w:type="dxa" w:w="468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Incumbent expansion into Equator's segments.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Jupitice already markets a “private digital court”.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Regulatory change / enforceability challenges.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Consolidation (institutions acquiring channels).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6.2 Recommended positioning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Lead with one volume wedge. </w:t>
      </w:r>
      <w:r>
        <w:t xml:space="preserve">Win NBFC (or commercial) first with a warm design partner — the SMART-ODR ladder and bulk intake are proven and monetisable, giving early case volume and references.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Own the trust segments. </w:t>
      </w:r>
      <w:r>
        <w:t xml:space="preserve">Marital and POSH are underserved as integrated, confidential ODR products; they build brand authority and are hard for volume-only players to copy credibly.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Differentiate as infrastructure. </w:t>
      </w:r>
      <w:r>
        <w:t xml:space="preserve">Private Court + Academy convert competitors' neutrals into Equator's supply; meet Jupitice head-on but with broader segment coverage and compliance depth.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Make compliance the pitch. </w:t>
      </w:r>
      <w:r>
        <w:t xml:space="preserve">Configurable rulesets mapped to the Mediation Act, A&amp;C Act, RBI and POSH turn regulatory complexity into a selling point for regulated clients.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Design for embedding. </w:t>
      </w:r>
      <w:r>
        <w:t xml:space="preserve">APIs/white-label let lenders and marketplaces embed Equator, capturing volume the way incumbents do — without requiring users to leave their flow.</w:t>
      </w:r>
    </w:p>
    <w:p>
      <w:r>
        <w:br w:type="page"/>
      </w:r>
    </w:p>
    <w:p>
      <w:pPr>
        <w:pStyle w:val="Heading1"/>
      </w:pPr>
      <w:r>
        <w:t xml:space="preserve">7. Sources</w:t>
      </w:r>
    </w:p>
    <w:p>
      <w:pPr>
        <w:spacing w:after="140" w:line="276"/>
      </w:pPr>
      <w:r>
        <w:t xml:space="preserve">Selected sources consulted (June 2026). Market figures are vendor/analyst estimates and vary by definition; treat ranges as directional.</w:t>
      </w:r>
    </w:p>
    <w:p>
      <w:pPr>
        <w:pStyle w:val="ListParagraph"/>
        <w:numPr>
          <w:ilvl w:val="0"/>
          <w:numId w:val="2"/>
        </w:numPr>
        <w:spacing w:after="60" w:line="270"/>
      </w:pPr>
      <w:hyperlink w:history="1" r:id="rIdjt2n58-4orl4zjkeiqm6s">
        <w:r>
          <w:rPr>
            <w:rStyle w:val="Hyperlink"/>
            <w:sz w:val="18"/>
            <w:szCs w:val="18"/>
          </w:rPr>
          <w:t xml:space="preserve">NITI Aayog — Designing the Future of Dispute Resolution: ODR Policy Plan for India (PDF)</w:t>
        </w:r>
      </w:hyperlink>
    </w:p>
    <w:p>
      <w:pPr>
        <w:pStyle w:val="ListParagraph"/>
        <w:numPr>
          <w:ilvl w:val="0"/>
          <w:numId w:val="2"/>
        </w:numPr>
        <w:spacing w:after="60" w:line="270"/>
      </w:pPr>
      <w:hyperlink w:history="1" r:id="rIdtohxwfcm41fbnim9xbrqk">
        <w:r>
          <w:rPr>
            <w:rStyle w:val="Hyperlink"/>
            <w:sz w:val="18"/>
            <w:szCs w:val="18"/>
          </w:rPr>
          <w:t xml:space="preserve">The Mediation Act, 2023 (full text)</w:t>
        </w:r>
      </w:hyperlink>
    </w:p>
    <w:p>
      <w:pPr>
        <w:pStyle w:val="ListParagraph"/>
        <w:numPr>
          <w:ilvl w:val="0"/>
          <w:numId w:val="2"/>
        </w:numPr>
        <w:spacing w:after="60" w:line="270"/>
      </w:pPr>
      <w:hyperlink w:history="1" r:id="rIdljpjlw6cjwjan7lzz7mtj">
        <w:r>
          <w:rPr>
            <w:rStyle w:val="Hyperlink"/>
            <w:sz w:val="18"/>
            <w:szCs w:val="18"/>
          </w:rPr>
          <w:t xml:space="preserve">SEBI — SMART ODR portal (investor)</w:t>
        </w:r>
      </w:hyperlink>
    </w:p>
    <w:p>
      <w:pPr>
        <w:pStyle w:val="ListParagraph"/>
        <w:numPr>
          <w:ilvl w:val="0"/>
          <w:numId w:val="2"/>
        </w:numPr>
        <w:spacing w:after="60" w:line="270"/>
      </w:pPr>
      <w:hyperlink w:history="1" r:id="rIdj4evz9as5e3d8o_wuiiju">
        <w:r>
          <w:rPr>
            <w:rStyle w:val="Hyperlink"/>
            <w:sz w:val="18"/>
            <w:szCs w:val="18"/>
          </w:rPr>
          <w:t xml:space="preserve">RBI (Digital Lending) Directions, 2025 — overview</w:t>
        </w:r>
      </w:hyperlink>
    </w:p>
    <w:p>
      <w:pPr>
        <w:pStyle w:val="ListParagraph"/>
        <w:numPr>
          <w:ilvl w:val="0"/>
          <w:numId w:val="2"/>
        </w:numPr>
        <w:spacing w:after="60" w:line="270"/>
      </w:pPr>
      <w:hyperlink w:history="1" r:id="rIdbsc1g0arwj5xv0vbzfoba">
        <w:r>
          <w:rPr>
            <w:rStyle w:val="Hyperlink"/>
            <w:sz w:val="18"/>
            <w:szCs w:val="18"/>
          </w:rPr>
          <w:t xml:space="preserve">SHe-Box &amp; the POSH Act — digital complaint architecture</w:t>
        </w:r>
      </w:hyperlink>
    </w:p>
    <w:p>
      <w:pPr>
        <w:pStyle w:val="ListParagraph"/>
        <w:numPr>
          <w:ilvl w:val="0"/>
          <w:numId w:val="2"/>
        </w:numPr>
        <w:spacing w:after="60" w:line="270"/>
      </w:pPr>
      <w:hyperlink w:history="1" r:id="rIdfibeqqhrma0uqxbesotjp">
        <w:r>
          <w:rPr>
            <w:rStyle w:val="Hyperlink"/>
            <w:sz w:val="18"/>
            <w:szCs w:val="18"/>
          </w:rPr>
          <w:t xml:space="preserve">Emergen Research — Top 10 companies in Legal ODR</w:t>
        </w:r>
      </w:hyperlink>
    </w:p>
    <w:p>
      <w:pPr>
        <w:pStyle w:val="ListParagraph"/>
        <w:numPr>
          <w:ilvl w:val="0"/>
          <w:numId w:val="2"/>
        </w:numPr>
        <w:spacing w:after="60" w:line="270"/>
      </w:pPr>
      <w:hyperlink w:history="1" r:id="rId6qeac3ehghtwhpuhl04yd">
        <w:r>
          <w:rPr>
            <w:rStyle w:val="Hyperlink"/>
            <w:sz w:val="18"/>
            <w:szCs w:val="18"/>
          </w:rPr>
          <w:t xml:space="preserve">Presolv360 — funding &amp; profile (Inc42)</w:t>
        </w:r>
      </w:hyperlink>
    </w:p>
    <w:p>
      <w:pPr>
        <w:pStyle w:val="ListParagraph"/>
        <w:numPr>
          <w:ilvl w:val="0"/>
          <w:numId w:val="2"/>
        </w:numPr>
        <w:spacing w:after="60" w:line="270"/>
      </w:pPr>
      <w:hyperlink w:history="1" r:id="rIdbmtffjbegpou6yghmfzhr">
        <w:r>
          <w:rPr>
            <w:rStyle w:val="Hyperlink"/>
            <w:sz w:val="18"/>
            <w:szCs w:val="18"/>
          </w:rPr>
          <w:t xml:space="preserve">SAMA — about / scale (35 lakh+ cases)</w:t>
        </w:r>
      </w:hyperlink>
    </w:p>
    <w:p>
      <w:pPr>
        <w:pStyle w:val="ListParagraph"/>
        <w:numPr>
          <w:ilvl w:val="0"/>
          <w:numId w:val="2"/>
        </w:numPr>
        <w:spacing w:after="60" w:line="270"/>
      </w:pPr>
      <w:hyperlink w:history="1" r:id="rIdsgjotw-3v642nvmzgvjfb">
        <w:r>
          <w:rPr>
            <w:rStyle w:val="Hyperlink"/>
            <w:sz w:val="18"/>
            <w:szCs w:val="18"/>
          </w:rPr>
          <w:t xml:space="preserve">CADRE ODR</w:t>
        </w:r>
      </w:hyperlink>
    </w:p>
    <w:p>
      <w:pPr>
        <w:pStyle w:val="ListParagraph"/>
        <w:numPr>
          <w:ilvl w:val="0"/>
          <w:numId w:val="2"/>
        </w:numPr>
        <w:spacing w:after="60" w:line="270"/>
      </w:pPr>
      <w:hyperlink w:history="1" r:id="rIdwmmdavwld28hnx1lhq_lj">
        <w:r>
          <w:rPr>
            <w:rStyle w:val="Hyperlink"/>
            <w:sz w:val="18"/>
            <w:szCs w:val="18"/>
          </w:rPr>
          <w:t xml:space="preserve">Webnyay — ODR solution</w:t>
        </w:r>
      </w:hyperlink>
    </w:p>
    <w:p>
      <w:pPr>
        <w:pStyle w:val="ListParagraph"/>
        <w:numPr>
          <w:ilvl w:val="0"/>
          <w:numId w:val="2"/>
        </w:numPr>
        <w:spacing w:after="60" w:line="270"/>
      </w:pPr>
      <w:hyperlink w:history="1" r:id="rId3wokakl5sicldehb_omfm">
        <w:r>
          <w:rPr>
            <w:rStyle w:val="Hyperlink"/>
            <w:sz w:val="18"/>
            <w:szCs w:val="18"/>
          </w:rPr>
          <w:t xml:space="preserve">CORD — Centre for Online Resolution of Disputes</w:t>
        </w:r>
      </w:hyperlink>
    </w:p>
    <w:p>
      <w:pPr>
        <w:pStyle w:val="ListParagraph"/>
        <w:numPr>
          <w:ilvl w:val="0"/>
          <w:numId w:val="2"/>
        </w:numPr>
        <w:spacing w:after="60" w:line="270"/>
      </w:pPr>
      <w:hyperlink w:history="1" r:id="rId5cit7f0h8dfesma3t65jo">
        <w:r>
          <w:rPr>
            <w:rStyle w:val="Hyperlink"/>
            <w:sz w:val="18"/>
            <w:szCs w:val="18"/>
          </w:rPr>
          <w:t xml:space="preserve">AAA acquires ODR.com &amp; Mediate.com (LawSites)</w:t>
        </w:r>
      </w:hyperlink>
    </w:p>
    <w:p>
      <w:pPr>
        <w:pStyle w:val="ListParagraph"/>
        <w:numPr>
          <w:ilvl w:val="0"/>
          <w:numId w:val="2"/>
        </w:numPr>
        <w:spacing w:after="60" w:line="270"/>
      </w:pPr>
      <w:hyperlink w:history="1" r:id="rIdhjpsez3-7prg6s-nnyt31">
        <w:r>
          <w:rPr>
            <w:rStyle w:val="Hyperlink"/>
            <w:sz w:val="18"/>
            <w:szCs w:val="18"/>
          </w:rPr>
          <w:t xml:space="preserve">Tyler Technologies — ODR (Modria)</w:t>
        </w:r>
      </w:hyperlink>
    </w:p>
    <w:sectPr>
      <w:headerReference w:type="default" r:id="rId7"/>
      <w:footerReference w:type="default" r:id="rId8"/>
      <w:pgSz w:w="12240" w:h="15840" w:orient="portrait"/>
      <w:pgMar w:top="1180" w:right="1320" w:bottom="1180" w:left="13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0EA" w:sz="4" w:space="4"/>
      </w:pBdr>
      <w:spacing w:before="60"/>
      <w:jc w:val="center"/>
    </w:pPr>
    <w:r>
      <w:rPr>
        <w:color w:val="6B7280"/>
        <w:sz w:val="14"/>
        <w:szCs w:val="14"/>
      </w:rPr>
      <w:t xml:space="preserve">Confidential      </w:t>
    </w:r>
    <w:r>
      <w:rPr>
        <w:color w:val="6B7280"/>
        <w:sz w:val="15"/>
        <w:szCs w:val="15"/>
      </w:rPr>
      <w:t xml:space="preserve">Page </w:t>
    </w:r>
    <w:r>
      <w:rPr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5"/>
        <w:szCs w:val="15"/>
      </w:rPr>
      <w:t xml:space="preserve"> of </w:t>
    </w:r>
    <w:r>
      <w:rPr>
        <w:color w:val="6B72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0EA" w:sz="4" w:space="4"/>
      </w:pBdr>
      <w:spacing w:after="80"/>
      <w:jc w:val="right"/>
    </w:pPr>
    <w:r>
      <w:rPr>
        <w:b/>
        <w:bCs/>
        <w:color w:val="0B2A4A"/>
        <w:sz w:val="15"/>
        <w:szCs w:val="15"/>
      </w:rPr>
      <w:t xml:space="preserve">EQUATOR RESOLUTION</w:t>
    </w:r>
    <w:r>
      <w:rPr>
        <w:color w:val="6B7280"/>
        <w:sz w:val="15"/>
        <w:szCs w:val="15"/>
      </w:rPr>
      <w:t xml:space="preserve">   |   Competitor &amp; Market Research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0E7C7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7C7B" w:sz="8" w:space="4"/>
      </w:pBdr>
      <w:spacing w:after="160" w:before="280"/>
      <w:outlineLvl w:val="0"/>
    </w:pPr>
    <w:rPr>
      <w:rFonts w:ascii="Calibri" w:cs="Calibri" w:eastAsia="Calibri" w:hAnsi="Calibri"/>
      <w:b/>
      <w:bCs/>
      <w:color w:val="0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Calibri" w:cs="Calibri" w:eastAsia="Calibri" w:hAnsi="Calibri"/>
      <w:b/>
      <w:bCs/>
      <w:color w:val="12477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0E7C7B"/>
      <w:sz w:val="22"/>
      <w:szCs w:val="22"/>
    </w:rPr>
  </w:style>
  <w:style w:type="paragraph" w:styleId="Hyperlink">
    <w:name w:val="Hyperlink"/>
    <w:basedOn w:val="Normal"/>
    <w:rPr>
      <w:color w:val="1F6FB2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jt2n58-4orl4zjkeiqm6s" Type="http://schemas.openxmlformats.org/officeDocument/2006/relationships/hyperlink" Target="https://www.niti.gov.in/sites/default/files/2023-03/Designing-The-Future-of-Dispute-Resolution-The-ODR-Policy-Plan-for-India.pdf" TargetMode="External"/><Relationship Id="rIdtohxwfcm41fbnim9xbrqk" Type="http://schemas.openxmlformats.org/officeDocument/2006/relationships/hyperlink" Target="https://legalaffairs.gov.in/sites/default/files/MediationAct2023.pdf" TargetMode="External"/><Relationship Id="rIdljpjlw6cjwjan7lzz7mtj" Type="http://schemas.openxmlformats.org/officeDocument/2006/relationships/hyperlink" Target="https://investor.sebi.gov.in/smart_orr.html" TargetMode="External"/><Relationship Id="rIdj4evz9as5e3d8o_wuiiju" Type="http://schemas.openxmlformats.org/officeDocument/2006/relationships/hyperlink" Target="https://www.obhanandassociates.com/blog/rewriting-the-rules-of-digital-lending-rbi-digital-lending-directions-2025/" TargetMode="External"/><Relationship Id="rIdbsc1g0arwj5xv0vbzfoba" Type="http://schemas.openxmlformats.org/officeDocument/2006/relationships/hyperlink" Target="https://www.teamleaseregtech.com/blogs/154/she-box-and-the-posh-act-what-changes-for-employers-in-indias-digital-complaint-architecture/" TargetMode="External"/><Relationship Id="rIdfibeqqhrma0uqxbesotjp" Type="http://schemas.openxmlformats.org/officeDocument/2006/relationships/hyperlink" Target="https://www.emergenresearch.com/blog/top-10-companies-in-the-legal-online-dispute-resolution-market" TargetMode="External"/><Relationship Id="rId6qeac3ehghtwhpuhl04yd" Type="http://schemas.openxmlformats.org/officeDocument/2006/relationships/hyperlink" Target="https://inc42.com/buzz/update-exclusive-presolv360-raises-4-7-mn-from-elevation-capital-others/" TargetMode="External"/><Relationship Id="rIdbmtffjbegpou6yghmfzhr" Type="http://schemas.openxmlformats.org/officeDocument/2006/relationships/hyperlink" Target="https://www.sama.live/about" TargetMode="External"/><Relationship Id="rIdsgjotw-3v642nvmzgvjfb" Type="http://schemas.openxmlformats.org/officeDocument/2006/relationships/hyperlink" Target="https://www.cadreodr.com/" TargetMode="External"/><Relationship Id="rIdwmmdavwld28hnx1lhq_lj" Type="http://schemas.openxmlformats.org/officeDocument/2006/relationships/hyperlink" Target="https://www.webnyay.ai/solution-odr" TargetMode="External"/><Relationship Id="rId3wokakl5sicldehb_omfm" Type="http://schemas.openxmlformats.org/officeDocument/2006/relationships/hyperlink" Target="https://resolveoncord.com/" TargetMode="External"/><Relationship Id="rId5cit7f0h8dfesma3t65jo" Type="http://schemas.openxmlformats.org/officeDocument/2006/relationships/hyperlink" Target="https://www.lawnext.com/2024/05/american-arbitration-association-acquires-odr-com-and-mediate-com-to-expand-online-dispute-resolution.html" TargetMode="External"/><Relationship Id="rIdhjpsez3-7prg6s-nnyt31" Type="http://schemas.openxmlformats.org/officeDocument/2006/relationships/hyperlink" Target="https://www.tylertech.com/products/online-dispute-resolution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Equator Resolution — Competitor &amp; Market Research Report</dc:title>
  <dc:creator>Equator Resolution</dc:creator>
  <cp:lastModifiedBy>Un-named</cp:lastModifiedBy>
  <cp:revision>1</cp:revision>
  <dcterms:created xsi:type="dcterms:W3CDTF">2026-06-26T09:32:28.360Z</dcterms:created>
  <dcterms:modified xsi:type="dcterms:W3CDTF">2026-06-26T09:32:28.360Z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