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36"/>
        <w:jc w:val="center"/>
      </w:pPr>
      <w:r>
        <w:rPr>
          <w:b/>
          <w:bCs/>
          <w:color w:val="0B2A4A"/>
          <w:sz w:val="52"/>
          <w:szCs w:val="52"/>
        </w:rPr>
        <w:t xml:space="preserve">EQUATOR RESOLUTION</w:t>
      </w:r>
    </w:p>
    <w:p>
      <w:pPr>
        <w:pBdr>
          <w:bottom w:val="single" w:color="0E7C7B" w:sz="12" w:space="6"/>
        </w:pBdr>
        <w:spacing w:after="220"/>
        <w:jc w:val="center"/>
      </w:pPr>
      <w:r>
        <w:rPr>
          <w:sz w:val="2"/>
          <w:szCs w:val="2"/>
        </w:rPr>
        <w:t xml:space="preserve"/>
      </w:r>
    </w:p>
    <w:p>
      <w:pPr>
        <w:spacing w:after="24"/>
        <w:jc w:val="center"/>
      </w:pPr>
      <w:r>
        <w:rPr>
          <w:b/>
          <w:bCs/>
          <w:color w:val="1F2937"/>
          <w:sz w:val="38"/>
          <w:szCs w:val="38"/>
        </w:rPr>
        <w:t xml:space="preserve">Dispute Resolution — Process &amp; Procedure Playbook</w:t>
      </w:r>
    </w:p>
    <w:p>
      <w:pPr>
        <w:spacing w:after="24"/>
        <w:jc w:val="center"/>
      </w:pPr>
      <w:r>
        <w:rPr>
          <w:color w:val="6B7280"/>
          <w:sz w:val="21"/>
          <w:szCs w:val="21"/>
        </w:rPr>
        <w:t xml:space="preserve">Legal logic · workflows · case types · defences · remedies · appeals · timelines</w:t>
      </w:r>
    </w:p>
    <w:p>
      <w:pPr>
        <w:spacing w:after="520"/>
        <w:jc w:val="center"/>
      </w:pPr>
      <w:r>
        <w:rPr>
          <w:color w:val="1F6FB2"/>
          <w:sz w:val="19"/>
          <w:szCs w:val="19"/>
        </w:rPr>
        <w:t xml:space="preserve">Marital  ·  NBFC–Borrower  ·  Commercial / Contractual  ·  Workplace (POSH) &amp; Grievance</w:t>
      </w:r>
    </w:p>
    <w:p>
      <w:pPr>
        <w:spacing w:after="18"/>
        <w:jc w:val="center"/>
      </w:pPr>
      <w:r>
        <w:rPr>
          <w:b/>
          <w:bCs/>
          <w:color w:val="0B2A4A"/>
          <w:sz w:val="19"/>
          <w:szCs w:val="19"/>
        </w:rPr>
        <w:t xml:space="preserve">A working reference for the Legal team AND the IT / engineering team</w:t>
      </w:r>
    </w:p>
    <w:p>
      <w:pPr>
        <w:spacing w:after="18"/>
        <w:jc w:val="center"/>
      </w:pPr>
      <w:r>
        <w:rPr>
          <w:color w:val="6B7280"/>
          <w:sz w:val="18"/>
          <w:szCs w:val="18"/>
        </w:rPr>
        <w:t xml:space="preserve">Jurisdiction: India (statute-referenced)  ·  Version 1.0  ·  June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Important — read first</w:t>
            </w:r>
          </w:p>
          <w:p>
            <w:pPr>
              <w:spacing w:after="0"/>
            </w:pPr>
            <w:r>
              <w:rPr>
                <w:color w:val="1F2937"/>
                <w:sz w:val="19"/>
                <w:szCs w:val="19"/>
              </w:rPr>
              <w:t xml:space="preserve">This Playbook describes Indian law and dispute-resolution procedure to a practitioner level so that (a) the legal team can run matters consistently and (b) the IT team can encode the correct states, fields, timelines and rules into the platform. It is a working reference, not legal advice for any specific case. Statutory provisions, limitation periods and case law evolve; the platform's rulesets (see Architecture §5.2, §19.5) must be the single source of truth and must be kept current by qualified counsel. Where a number is given (days, thresholds, fees), treat it as a configurable default to be confirmed against the current statute and the applicable High Court practice.</w:t>
            </w:r>
          </w:p>
        </w:tc>
      </w:tr>
    </w:tbl>
    <w:p>
      <w:pPr>
        <w:spacing w:after="20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Playbook</w:t>
      </w:r>
    </w:p>
    <w:p>
      <w:pPr>
        <w:spacing w:after="140" w:line="276"/>
      </w:pPr>
      <w:r>
        <w:t xml:space="preserve">This Playbook turns the law of each dispute type into something two very different teams can act on. For the legal team it is a procedural checklist — what stage we are at, what is due, what the other side can argue, what relief is available, and how an outcome is challenged or enforced. For the IT team it is a specification — the states a case moves through, the fields each stage needs, the clocks that must run, and the rules that gate each transition.</w:t>
      </w:r>
    </w:p>
    <w:p>
      <w:pPr>
        <w:pStyle w:val="Heading3"/>
      </w:pPr>
      <w:r>
        <w:t xml:space="preserve">1.1 Structure of each dispute chapter</w:t>
      </w:r>
    </w:p>
    <w:p>
      <w:pPr>
        <w:spacing w:after="140" w:line="276"/>
      </w:pPr>
      <w:r>
        <w:t xml:space="preserve">Every dispute chapter (Marital, NBFC–Borrower, Commercial, Workplace/POSH) follows the same template so the two teams always know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Section</w:t>
            </w:r>
          </w:p>
        </w:tc>
        <w:tc>
          <w:tcPr>
            <w:tcW w:type="dxa" w:w="33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For the legal team</w:t>
            </w:r>
          </w:p>
        </w:tc>
        <w:tc>
          <w:tcPr>
            <w:tcW w:type="dxa" w:w="33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For the IT team</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Logic &amp; governing law</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The statutes and principles that apply</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Which ruleset / jurisdiction config governs</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Case types (catalogue)</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What matters fall in scope</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Enumerated case_subtype values</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End-to-end workflow</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Stage-by-stage procedure</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State machine: states, transitions, gates</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Defences &amp; objections</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What the respondent can argue</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Structured defence catalogue + fields</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Offences / misconduct</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Penal / contempt exposure</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Flags, alerts, escalation triggers</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Remedies &amp; reliefs</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What can be ordered</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Remedy catalogue for orders/awards</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Appeals &amp; challenge</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How an outcome is contested</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Appeal routes + limitation clocks</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Timelines (limitation)</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The clocks that bind the matter</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compliance_clock entries &amp; alerts</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Practical scenarios</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How it actually plays out</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Test cases for the build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Cross-reference</w:t>
            </w:r>
          </w:p>
          <w:p>
            <w:pPr>
              <w:spacing w:after="0"/>
            </w:pPr>
            <w:r>
              <w:rPr>
                <w:color w:val="1F2937"/>
                <w:sz w:val="19"/>
                <w:szCs w:val="19"/>
              </w:rPr>
              <w:t xml:space="preserve">This Playbook is the procedural companion to the Architecture Document and the Forms &amp; Database Specification. The case states named here map to cases.status and the case lifecycle state machine (Architecture §6.4); the clocks map to compliance_clock (§19.9); the new catalogues and process forms here are specified field-level on the “4c. Legal Workflow Tables” and “4d. Process Forms” tabs of the .xlsx.</w:t>
            </w:r>
          </w:p>
        </w:tc>
      </w:tr>
    </w:tbl>
    <w:p>
      <w:r>
        <w:br w:type="page"/>
      </w:r>
    </w:p>
    <w:p>
      <w:pPr>
        <w:pStyle w:val="Heading1"/>
      </w:pPr>
      <w:r>
        <w:t xml:space="preserve">2. The Common ADR Framework</w:t>
      </w:r>
    </w:p>
    <w:p>
      <w:pPr>
        <w:spacing w:after="140" w:line="276"/>
      </w:pPr>
      <w:r>
        <w:t xml:space="preserve">Before the dispute-specific detail, four ideas run through everything Equator does. Encoding them once, centrally, keeps all four pillars consistent.</w:t>
      </w:r>
    </w:p>
    <w:p>
      <w:pPr>
        <w:pStyle w:val="Heading2"/>
      </w:pPr>
      <w:r>
        <w:t xml:space="preserve">2.1 The resolution ladder (negotiation → conciliation/mediation → arbitration → court)</w:t>
      </w:r>
    </w:p>
    <w:p>
      <w:pPr>
        <w:spacing w:after="140" w:line="276"/>
      </w:pPr>
      <w:r>
        <w:t xml:space="preserve">Indian ADR is staged. Parties are encouraged (and sometimes required) to attempt consensual resolution before adjudication, and to exhaust ADR before approaching a court. The platform models this ladder as ordered stages, each with its own clock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60"/>
        <w:gridCol w:w="190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Rung</w:t>
            </w:r>
          </w:p>
        </w:tc>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Nature</w:t>
            </w:r>
          </w:p>
        </w:tc>
        <w:tc>
          <w:tcPr>
            <w:tcW w:type="dxa" w:w="2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Outcome if it works</w:t>
            </w:r>
          </w:p>
        </w:tc>
        <w:tc>
          <w:tcPr>
            <w:tcW w:type="dxa" w:w="1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Binding?</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Negotiation</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Direct / assisted bargaining</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Settlement agreement</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As a contract</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Conciliation</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Neutral proposes terms (A&amp;C Act Part III)</w:t>
            </w:r>
          </w:p>
        </w:tc>
        <w:tc>
          <w:tcPr>
            <w:tcW w:type="dxa" w:w="2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Settlement agreement</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Same force as an arbitral award on agreed terms</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Mediation</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Neutral facilitates; parties decide (Mediation Act 2023)</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Mediated Settlement Agreement (MSA)</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Enforceable as a decree (S.27)</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Arbitration</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Neutral adjudicates</w:t>
            </w:r>
          </w:p>
        </w:tc>
        <w:tc>
          <w:tcPr>
            <w:tcW w:type="dxa" w:w="2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Arbitral award</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Enforceable as a decree (S.36)</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Court / tribunal</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State adjudication (last resort / supervisory)</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Judgment / decree</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Binding, appealable</w:t>
            </w:r>
          </w:p>
        </w:tc>
      </w:tr>
    </w:tbl>
    <w:p>
      <w:pPr>
        <w:spacing w:after="80"/>
      </w:pPr>
      <w:r>
        <w:t xml:space="preserve"/>
      </w:r>
    </w:p>
    <w:p>
      <w:pPr>
        <w:pStyle w:val="Heading2"/>
      </w:pPr>
      <w:r>
        <w:t xml:space="preserve">2.2 Arbitrability — what can and cannot be privately decided</w:t>
      </w:r>
    </w:p>
    <w:p>
      <w:pPr>
        <w:spacing w:after="140" w:line="276"/>
      </w:pPr>
      <w:r>
        <w:t xml:space="preserve">Not every dispute can be arbitrated. Rights in rem (binding the world), criminal matters, and certain status questions are generally non-arbitrable; rights in personam (between the parties) generally are. This distinction must be enforced at intake, because mis-routing a non-arbitrable matter into arbitration produces an unenforceable award.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60"/>
      </w:tblGrid>
      <w:tr>
        <w:trPr>
          <w:tblHeader/>
        </w:trPr>
        <w:tc>
          <w:tcPr>
            <w:tcW w:type="dxa" w:w="2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Matter</w:t>
            </w:r>
          </w:p>
        </w:tc>
        <w:tc>
          <w:tcPr>
            <w:tcW w:type="dxa" w:w="2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Mediation?</w:t>
            </w:r>
          </w:p>
        </w:tc>
        <w:tc>
          <w:tcPr>
            <w:tcW w:type="dxa" w:w="2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Arbitration?</w:t>
            </w:r>
          </w:p>
        </w:tc>
        <w:tc>
          <w:tcPr>
            <w:tcW w:type="dxa" w:w="25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Note</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Divorce / marital status</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Yes (facilitate terms)</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Status decree is for the court; mediation can settle terms.</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Child custody / welfare</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Yes (parenting plan)</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Welfare jurisdiction is the court's; non-arbitrable.</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Maintenance / alimony / asset division</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Yes (financial)</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Financial consequences are arbitrable by consent.</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Loan / debt (NBFC)</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Contractual; arbitration clause common.</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Commercial contract</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Core arbitrable territory.</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Consumer disputes</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Yes</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Caution</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Consumer fora are a special, non-derogable remedy.</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POSH / sexual harassment</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 (statutory IC inquiry)</w:t>
            </w:r>
          </w:p>
        </w:tc>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Statutory mechanism; escalation handled by EDRS within law.</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Insolvency, criminal, tax</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w:t>
            </w:r>
          </w:p>
        </w:tc>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Reserved to special fora.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Build implication</w:t>
            </w:r>
          </w:p>
          <w:p>
            <w:pPr>
              <w:spacing w:after="0"/>
            </w:pPr>
            <w:r>
              <w:rPr>
                <w:color w:val="1F2937"/>
                <w:sz w:val="19"/>
                <w:szCs w:val="19"/>
              </w:rPr>
              <w:t xml:space="preserve">Carry a non_arbitrable flag and an arbitrability matrix in config (see Forms &amp; DB Spec). At intake, the case_subtype determines which mechanisms are even offered; the engine must refuse to open an arbitration on a non-arbitrable subtype and instead route to mediation or the correct statutory forum.</w:t>
            </w:r>
          </w:p>
        </w:tc>
      </w:tr>
    </w:tbl>
    <w:p>
      <w:pPr>
        <w:spacing w:after="80"/>
      </w:pPr>
      <w:r>
        <w:t xml:space="preserve"/>
      </w:r>
    </w:p>
    <w:p>
      <w:pPr>
        <w:pStyle w:val="Heading2"/>
      </w:pPr>
      <w:r>
        <w:t xml:space="preserve">2.3 The universal process spine</w:t>
      </w:r>
    </w:p>
    <w:p>
      <w:pPr>
        <w:spacing w:after="140" w:line="276"/>
      </w:pPr>
      <w:r>
        <w:t xml:space="preserve">Underneath the four pillars sits one spine. Each pillar specialises it, but the skeleton is constant — which is exactly why one configurable state machine can serve all of them:</w:t>
      </w:r>
    </w:p>
    <w:p>
      <w:pPr>
        <w:pStyle w:val="ListParagraph"/>
        <w:numPr>
          <w:ilvl w:val="0"/>
          <w:numId w:val="2"/>
        </w:numPr>
        <w:spacing w:after="60" w:line="268"/>
      </w:pPr>
      <w:r>
        <w:t xml:space="preserve">Intake &amp; scrutiny — verify parties, jurisdiction, arbitrability, clause/consent, fees; register and issue a case number; start the statutory clock.</w:t>
      </w:r>
    </w:p>
    <w:p>
      <w:pPr>
        <w:pStyle w:val="ListParagraph"/>
        <w:numPr>
          <w:ilvl w:val="0"/>
          <w:numId w:val="2"/>
        </w:numPr>
        <w:spacing w:after="60" w:line="268"/>
      </w:pPr>
      <w:r>
        <w:t xml:space="preserve">Notice &amp; response — serve the respondent (defensibly); capture reply/defence within the response window.</w:t>
      </w:r>
    </w:p>
    <w:p>
      <w:pPr>
        <w:pStyle w:val="ListParagraph"/>
        <w:numPr>
          <w:ilvl w:val="0"/>
          <w:numId w:val="2"/>
        </w:numPr>
        <w:spacing w:after="60" w:line="268"/>
      </w:pPr>
      <w:r>
        <w:t xml:space="preserve">Constitution — appoint the neutral / constitute the tribunal / committee; clear conflicts.</w:t>
      </w:r>
    </w:p>
    <w:p>
      <w:pPr>
        <w:pStyle w:val="ListParagraph"/>
        <w:numPr>
          <w:ilvl w:val="0"/>
          <w:numId w:val="2"/>
        </w:numPr>
        <w:spacing w:after="60" w:line="268"/>
      </w:pPr>
      <w:r>
        <w:t xml:space="preserve">Pleadings &amp; evidence — claim, defence, documents, issues.</w:t>
      </w:r>
    </w:p>
    <w:p>
      <w:pPr>
        <w:pStyle w:val="ListParagraph"/>
        <w:numPr>
          <w:ilvl w:val="0"/>
          <w:numId w:val="2"/>
        </w:numPr>
        <w:spacing w:after="60" w:line="268"/>
      </w:pPr>
      <w:r>
        <w:t xml:space="preserve">Hearings — conduct (online), record, manage interim applications.</w:t>
      </w:r>
    </w:p>
    <w:p>
      <w:pPr>
        <w:pStyle w:val="ListParagraph"/>
        <w:numPr>
          <w:ilvl w:val="0"/>
          <w:numId w:val="2"/>
        </w:numPr>
        <w:spacing w:after="60" w:line="268"/>
      </w:pPr>
      <w:r>
        <w:t xml:space="preserve">Outcome — settlement/MSA, award, or report &amp; recommendation.</w:t>
      </w:r>
    </w:p>
    <w:p>
      <w:pPr>
        <w:pStyle w:val="ListParagraph"/>
        <w:numPr>
          <w:ilvl w:val="0"/>
          <w:numId w:val="2"/>
        </w:numPr>
        <w:spacing w:after="60" w:line="268"/>
      </w:pPr>
      <w:r>
        <w:t xml:space="preserve">Authentication — e-sign, stamp, certificate of authenticity.</w:t>
      </w:r>
    </w:p>
    <w:p>
      <w:pPr>
        <w:pStyle w:val="ListParagraph"/>
        <w:numPr>
          <w:ilvl w:val="0"/>
          <w:numId w:val="2"/>
        </w:numPr>
        <w:spacing w:after="60" w:line="268"/>
      </w:pPr>
      <w:r>
        <w:t xml:space="preserve">Post-outcome — challenge/appeal window, enforcement/execution, escalation, closure &amp; retention.</w:t>
      </w:r>
    </w:p>
    <w:p>
      <w:pPr>
        <w:spacing w:after="80"/>
      </w:pPr>
      <w:r>
        <w:t xml:space="preserve"/>
      </w:r>
    </w:p>
    <w:p>
      <w:pPr>
        <w:pStyle w:val="Heading2"/>
      </w:pPr>
      <w:r>
        <w:t xml:space="preserve">2.4 Industry standards &amp; practical expectations</w:t>
      </w:r>
    </w:p>
    <w:p>
      <w:pPr>
        <w:pStyle w:val="ListParagraph"/>
        <w:numPr>
          <w:ilvl w:val="0"/>
          <w:numId w:val="3"/>
        </w:numPr>
        <w:spacing w:after="60" w:line="268"/>
      </w:pPr>
      <w:r>
        <w:t xml:space="preserve">Institutional administration (a neutral institution managing the case) is now the policy preference for both arbitration and mediation, and is what regulated clients expect.</w:t>
      </w:r>
    </w:p>
    <w:p>
      <w:pPr>
        <w:pStyle w:val="ListParagraph"/>
        <w:numPr>
          <w:ilvl w:val="0"/>
          <w:numId w:val="3"/>
        </w:numPr>
        <w:spacing w:after="60" w:line="268"/>
      </w:pPr>
      <w:r>
        <w:t xml:space="preserve">Reasoned outcomes: awards must be reasoned; mediated settlements must be properly recorded to be enforceable.</w:t>
      </w:r>
    </w:p>
    <w:p>
      <w:pPr>
        <w:pStyle w:val="ListParagraph"/>
        <w:numPr>
          <w:ilvl w:val="0"/>
          <w:numId w:val="3"/>
        </w:numPr>
        <w:spacing w:after="60" w:line="268"/>
      </w:pPr>
      <w:r>
        <w:t xml:space="preserve">Time-bound resolution: every track carries a statutory or institutional time-limit; missing it has consequences (e.g., tribunal mandate lapses).</w:t>
      </w:r>
    </w:p>
    <w:p>
      <w:pPr>
        <w:pStyle w:val="ListParagraph"/>
        <w:numPr>
          <w:ilvl w:val="0"/>
          <w:numId w:val="3"/>
        </w:numPr>
        <w:spacing w:after="60" w:line="268"/>
      </w:pPr>
      <w:r>
        <w:t xml:space="preserve">Confidentiality: mediation and POSH are strictly confidential; arbitration is private. Confidentiality tiers drive access (Architecture §9).</w:t>
      </w:r>
    </w:p>
    <w:p>
      <w:pPr>
        <w:pStyle w:val="ListParagraph"/>
        <w:numPr>
          <w:ilvl w:val="0"/>
          <w:numId w:val="3"/>
        </w:numPr>
        <w:spacing w:after="60" w:line="268"/>
      </w:pPr>
      <w:r>
        <w:t xml:space="preserve">Proof of service and a clean record are, in practice, what determine whether an outcome survives challenge.</w:t>
      </w:r>
    </w:p>
    <w:p>
      <w:r>
        <w:br w:type="page"/>
      </w:r>
    </w:p>
    <w:p>
      <w:pPr>
        <w:pStyle w:val="Heading1"/>
      </w:pPr>
      <w:r>
        <w:t xml:space="preserve">3. Marital &amp; Family Disputes</w:t>
      </w:r>
    </w:p>
    <w:p>
      <w:pPr>
        <w:pStyle w:val="Heading2"/>
      </w:pPr>
      <w:r>
        <w:t xml:space="preserve">3.1 Logic &amp; governing law</w:t>
      </w:r>
    </w:p>
    <w:p>
      <w:pPr>
        <w:spacing w:after="140" w:line="276"/>
      </w:pPr>
      <w:r>
        <w:t xml:space="preserve">Family disputes are governed by personal-law and special statutes and are handled with a strong reconciliation-first, welfare-first philosophy. Mediation is the natural fit: it is confidential, relationship-preserving and child-sensitive. The defining constraint is arbitrability — parties may mediate everything but may only arbitrate the financial consequences; the marital status decree and child-welfare decisions remain with the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Statute</w:t>
            </w:r>
          </w:p>
        </w:tc>
        <w:tc>
          <w:tcPr>
            <w:tcW w:type="dxa" w:w="5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Governs</w:t>
            </w:r>
          </w:p>
        </w:tc>
      </w:tr>
      <w:tr>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Hindu Marriage Act, 1955</w:t>
            </w:r>
          </w:p>
        </w:tc>
        <w:tc>
          <w:tcPr>
            <w:tcW w:type="dxa" w:w="5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Marriage, divorce, restitution, maintenance (S.24/25), custody (S.26) for Hindus.</w:t>
            </w:r>
          </w:p>
        </w:tc>
      </w:tr>
      <w:tr>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Special Marriage Act, 1954</w:t>
            </w:r>
          </w:p>
        </w:tc>
        <w:tc>
          <w:tcPr>
            <w:tcW w:type="dxa" w:w="5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Civil/inter-faith marriages and divorce.</w:t>
            </w:r>
          </w:p>
        </w:tc>
      </w:tr>
      <w:tr>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Family Courts Act, 1984</w:t>
            </w:r>
          </w:p>
        </w:tc>
        <w:tc>
          <w:tcPr>
            <w:tcW w:type="dxa" w:w="5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Family court jurisdiction; S.9 duty to attempt settlement (mediation).</w:t>
            </w:r>
          </w:p>
        </w:tc>
      </w:tr>
      <w:tr>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Protection of Women from Domestic Violence Act, 2005</w:t>
            </w:r>
          </w:p>
        </w:tc>
        <w:tc>
          <w:tcPr>
            <w:tcW w:type="dxa" w:w="5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Protection, residence, monetary, custody orders (civil reliefs).</w:t>
            </w:r>
          </w:p>
        </w:tc>
      </w:tr>
      <w:tr>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Guardians and Wards Act, 1890 / welfare principle</w:t>
            </w:r>
          </w:p>
        </w:tc>
        <w:tc>
          <w:tcPr>
            <w:tcW w:type="dxa" w:w="5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Custody and guardianship — “welfare of the child” paramount.</w:t>
            </w:r>
          </w:p>
        </w:tc>
      </w:tr>
      <w:tr>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Section 125 CrPC / BNSS</w:t>
            </w:r>
          </w:p>
        </w:tc>
        <w:tc>
          <w:tcPr>
            <w:tcW w:type="dxa" w:w="5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Summary maintenance remedy.</w:t>
            </w:r>
          </w:p>
        </w:tc>
      </w:tr>
      <w:tr>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Mediation Act, 2023</w:t>
            </w:r>
          </w:p>
        </w:tc>
        <w:tc>
          <w:tcPr>
            <w:tcW w:type="dxa" w:w="5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Online &amp; institutional mediation; MSA enforceable as decree.</w:t>
            </w:r>
          </w:p>
        </w:tc>
      </w:tr>
    </w:tbl>
    <w:p>
      <w:pPr>
        <w:spacing w:after="80"/>
      </w:pPr>
      <w:r>
        <w:t xml:space="preserve"/>
      </w:r>
    </w:p>
    <w:p>
      <w:pPr>
        <w:pStyle w:val="Heading2"/>
      </w:pPr>
      <w:r>
        <w:t xml:space="preserve">3.2 Case types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650"/>
        <w:gridCol w:w="2960"/>
      </w:tblGrid>
      <w:tr>
        <w:trPr>
          <w:tblHeader/>
        </w:trPr>
        <w:tc>
          <w:tcPr>
            <w:tcW w:type="dxa" w:w="27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Case subtype</w:t>
            </w:r>
          </w:p>
        </w:tc>
        <w:tc>
          <w:tcPr>
            <w:tcW w:type="dxa" w:w="36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What it covers</w:t>
            </w:r>
          </w:p>
        </w:tc>
        <w:tc>
          <w:tcPr>
            <w:tcW w:type="dxa" w:w="2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ODR mechanism</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Mutual-consent divorce — terms</w:t>
            </w:r>
          </w:p>
        </w:tc>
        <w:tc>
          <w:tcPr>
            <w:tcW w:type="dxa" w:w="3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Settlement of all terms; status decree by court</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Contested divorce — settlement</w:t>
            </w:r>
          </w:p>
        </w:tc>
        <w:tc>
          <w:tcPr>
            <w:tcW w:type="dxa" w:w="3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Narrowing/settling issues to enable consent</w:t>
            </w:r>
          </w:p>
        </w:tc>
        <w:tc>
          <w:tcPr>
            <w:tcW w:type="dxa" w:w="2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Mediation</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Maintenance / alimony</w:t>
            </w:r>
          </w:p>
        </w:tc>
        <w:tc>
          <w:tcPr>
            <w:tcW w:type="dxa" w:w="3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Interim (pendente lite) &amp; permanent support</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arbitration if purely financial &amp; consented</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Child custody &amp; parenting plan</w:t>
            </w:r>
          </w:p>
        </w:tc>
        <w:tc>
          <w:tcPr>
            <w:tcW w:type="dxa" w:w="3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Custody, visitation, schooling, relocation</w:t>
            </w:r>
          </w:p>
        </w:tc>
        <w:tc>
          <w:tcPr>
            <w:tcW w:type="dxa" w:w="2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Mediation only (non-arbitrable)</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Matrimonial property / asset division</w:t>
            </w:r>
          </w:p>
        </w:tc>
        <w:tc>
          <w:tcPr>
            <w:tcW w:type="dxa" w:w="3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Division of assets, debts, streedhan</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arbitration (financial)</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Domestic-violence reliefs</w:t>
            </w:r>
          </w:p>
        </w:tc>
        <w:tc>
          <w:tcPr>
            <w:tcW w:type="dxa" w:w="3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Protection, residence, monetary relief</w:t>
            </w:r>
          </w:p>
        </w:tc>
        <w:tc>
          <w:tcPr>
            <w:tcW w:type="dxa" w:w="2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Mediation (settlement) within statutory safeguards</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Restitution / judicial separation terms</w:t>
            </w:r>
          </w:p>
        </w:tc>
        <w:tc>
          <w:tcPr>
            <w:tcW w:type="dxa" w:w="3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Terms around cohabitation/separation</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w:t>
            </w:r>
          </w:p>
        </w:tc>
      </w:tr>
    </w:tbl>
    <w:p>
      <w:pPr>
        <w:spacing w:after="80"/>
      </w:pPr>
      <w:r>
        <w:t xml:space="preserve"/>
      </w:r>
    </w:p>
    <w:p>
      <w:pPr>
        <w:pStyle w:val="Heading2"/>
      </w:pPr>
      <w:r>
        <w:t xml:space="preserve">3.3 Grounds for divorce (context for the legal team)</w:t>
      </w:r>
    </w:p>
    <w:p>
      <w:pPr>
        <w:spacing w:after="140" w:line="276"/>
      </w:pPr>
      <w:r>
        <w:t xml:space="preserve">Although Equator mediates rather than grants divorce, the mediator and case manager must understand the grounds the matter sits on. Common grounds (Hindu Marriage Act) include cruelty, adultery, desertion (typically two years), conversion, unsoundness of mind/mental disorder, virulent incurable disease, renunciation, and presumption of death; mutual consent is a separate, consensual route.</w:t>
      </w:r>
    </w:p>
    <w:p>
      <w:pPr>
        <w:spacing w:after="80"/>
      </w:pPr>
      <w:r>
        <w:t xml:space="preserve"/>
      </w:r>
    </w:p>
    <w:p>
      <w:pPr>
        <w:pStyle w:val="Heading2"/>
      </w:pPr>
      <w:r>
        <w:t xml:space="preserve">3.4 End-to-end workflow (mediation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4150"/>
        <w:gridCol w:w="186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Stage</w:t>
            </w:r>
          </w:p>
        </w:tc>
        <w:tc>
          <w:tcPr>
            <w:tcW w:type="dxa" w:w="18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State</w:t>
            </w:r>
          </w:p>
        </w:tc>
        <w:tc>
          <w:tcPr>
            <w:tcW w:type="dxa" w:w="41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What happens</w:t>
            </w:r>
          </w:p>
        </w:tc>
        <w:tc>
          <w:tcPr>
            <w:tcW w:type="dxa" w:w="1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Clock / gate</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 Intake</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REGISTERED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Verify parties &amp; marriage; flag children; set tier HIGH; mark non-arbitrable issues</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Confidentiality tier set</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2. Notice</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NOTICE_SERVED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Invite/serve other spouse; consent to mediate</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Response window</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Mediator appointed</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NEUTRAL_APPOINTED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Trained family mediator; optional child specialist/counsellor</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120 (+60) day clock starts</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4. Sessions</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IN_RESOLUTION</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Joint &amp; caucus sessions; interests, options, parenting plan</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Session SLAs</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5. Terms</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SETTLEMENT_DRAFTED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Draft MSA / parenting plan / financial terms</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Review window</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6. Signing</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SIGNED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e-sign MSA; stamp where required</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Stamp gate</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7. Court step</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CLOSED_RESOLVED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Parties file MSA in court for consent decree (status)</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Cooling-off / motion period</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CLOSED_UNRESOLVED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If no agreement: withdraw to litigation</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Practical expectation</w:t>
            </w:r>
          </w:p>
          <w:p>
            <w:pPr>
              <w:spacing w:after="0"/>
            </w:pPr>
            <w:r>
              <w:rPr>
                <w:color w:val="1F2937"/>
                <w:sz w:val="19"/>
                <w:szCs w:val="19"/>
              </w:rPr>
              <w:t xml:space="preserve">Mutual-consent terms typically settle in weeks once both spouses engage; the residual court process (first and second motion, cooling-off) governs when the status decree issues — historically up to ~6–18 months, though courts can waive the statutory cooling-off in deserving mutual-consent cases. The mediation can complete well before the decree.</w:t>
            </w:r>
          </w:p>
        </w:tc>
      </w:tr>
    </w:tbl>
    <w:p>
      <w:pPr>
        <w:spacing w:after="80"/>
      </w:pPr>
      <w:r>
        <w:t xml:space="preserve"/>
      </w:r>
    </w:p>
    <w:p>
      <w:pPr>
        <w:pStyle w:val="Heading2"/>
      </w:pPr>
      <w:r>
        <w:t xml:space="preserve">3.5 Defences &amp; objections (what the other spouse may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Defence / objection</w:t>
            </w:r>
          </w:p>
        </w:tc>
        <w:tc>
          <w:tcPr>
            <w:tcW w:type="dxa" w:w="5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Effect</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No valid marriage / jurisdiction</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Goes to maintainability; verify at intake.</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Denial of grounds (no cruelty/desertion)</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Contested-divorce defence; mediation reframes to interests.</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Condonation / collusion (adultery cases)</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Statutory bars to certain grounds.</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Maintenance: capacity / means / conduct</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Quantum disputes; income &amp; needs evidence.</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Custody: child's welfare / fitness</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Welfare test; cannot be bargained against the child's interest.</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Coercion / lack of free consent to settle</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MSA voidable; consent must be genuine and recorded.</w:t>
            </w:r>
          </w:p>
        </w:tc>
      </w:tr>
    </w:tbl>
    <w:p>
      <w:pPr>
        <w:spacing w:after="80"/>
      </w:pPr>
      <w:r>
        <w:t xml:space="preserve"/>
      </w:r>
    </w:p>
    <w:p>
      <w:pPr>
        <w:pStyle w:val="Heading2"/>
      </w:pPr>
      <w:r>
        <w:t xml:space="preserve">3.6 Remedies &amp; reliefs</w:t>
      </w:r>
    </w:p>
    <w:p>
      <w:pPr>
        <w:pStyle w:val="ListParagraph"/>
        <w:numPr>
          <w:ilvl w:val="0"/>
          <w:numId w:val="3"/>
        </w:numPr>
        <w:spacing w:after="60" w:line="268"/>
      </w:pPr>
      <w:r>
        <w:t xml:space="preserve">Dissolution / judicial separation (court, on agreed terms) — status relief.</w:t>
      </w:r>
    </w:p>
    <w:p>
      <w:pPr>
        <w:pStyle w:val="ListParagraph"/>
        <w:numPr>
          <w:ilvl w:val="0"/>
          <w:numId w:val="3"/>
        </w:numPr>
        <w:spacing w:after="60" w:line="268"/>
      </w:pPr>
      <w:r>
        <w:t xml:space="preserve">Maintenance: interim (pendente lite, S.24) and permanent alimony (S.25); lump-sum or periodic.</w:t>
      </w:r>
    </w:p>
    <w:p>
      <w:pPr>
        <w:pStyle w:val="ListParagraph"/>
        <w:numPr>
          <w:ilvl w:val="0"/>
          <w:numId w:val="3"/>
        </w:numPr>
        <w:spacing w:after="60" w:line="268"/>
      </w:pPr>
      <w:r>
        <w:t xml:space="preserve">Custody &amp; access: sole/joint custody, visitation schedule, schooling, relocation terms (welfare-based).</w:t>
      </w:r>
    </w:p>
    <w:p>
      <w:pPr>
        <w:pStyle w:val="ListParagraph"/>
        <w:numPr>
          <w:ilvl w:val="0"/>
          <w:numId w:val="3"/>
        </w:numPr>
        <w:spacing w:after="60" w:line="268"/>
      </w:pPr>
      <w:r>
        <w:t xml:space="preserve">Property: division of assets/debts, return of streedhan, residence arrangements.</w:t>
      </w:r>
    </w:p>
    <w:p>
      <w:pPr>
        <w:pStyle w:val="ListParagraph"/>
        <w:numPr>
          <w:ilvl w:val="0"/>
          <w:numId w:val="3"/>
        </w:numPr>
        <w:spacing w:after="60" w:line="268"/>
      </w:pPr>
      <w:r>
        <w:t xml:space="preserve">Protection (DV): protection, residence, monetary and custody orders.</w:t>
      </w:r>
    </w:p>
    <w:p>
      <w:pPr>
        <w:spacing w:after="80"/>
      </w:pPr>
      <w:r>
        <w:t xml:space="preserve"/>
      </w:r>
    </w:p>
    <w:p>
      <w:pPr>
        <w:pStyle w:val="Heading2"/>
      </w:pPr>
      <w:r>
        <w:t xml:space="preserve">3.7 Offences / penal exposure (awareness)</w:t>
      </w:r>
    </w:p>
    <w:p>
      <w:pPr>
        <w:pStyle w:val="ListParagraph"/>
        <w:numPr>
          <w:ilvl w:val="0"/>
          <w:numId w:val="3"/>
        </w:numPr>
        <w:spacing w:after="60" w:line="268"/>
      </w:pPr>
      <w:r>
        <w:t xml:space="preserve">Breach of a DV protection order is a penal offence — flag and route appropriately; not a private-settlement matter.</w:t>
      </w:r>
    </w:p>
    <w:p>
      <w:pPr>
        <w:pStyle w:val="ListParagraph"/>
        <w:numPr>
          <w:ilvl w:val="0"/>
          <w:numId w:val="3"/>
        </w:numPr>
        <w:spacing w:after="60" w:line="268"/>
      </w:pPr>
      <w:r>
        <w:t xml:space="preserve">Cruelty / dowry harassment (matrimonial cruelty provisions) are criminal and non-arbitrable; the platform must not present these as ADR-settleable on their criminal aspect.</w:t>
      </w:r>
    </w:p>
    <w:p>
      <w:pPr>
        <w:pStyle w:val="ListParagraph"/>
        <w:numPr>
          <w:ilvl w:val="0"/>
          <w:numId w:val="3"/>
        </w:numPr>
        <w:spacing w:after="60" w:line="268"/>
      </w:pPr>
      <w:r>
        <w:t xml:space="preserve">False statements / suppression in proceedings risk perjury exposure — maintain a clean, attributable record.</w:t>
      </w:r>
    </w:p>
    <w:p>
      <w:pPr>
        <w:spacing w:after="80"/>
      </w:pPr>
      <w:r>
        <w:t xml:space="preserve"/>
      </w:r>
    </w:p>
    <w:p>
      <w:pPr>
        <w:pStyle w:val="Heading2"/>
      </w:pPr>
      <w:r>
        <w:t xml:space="preserve">3.8 Appeals &amp;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rPr>
          <w:tblHeader/>
        </w:trPr>
        <w:tc>
          <w:tcPr>
            <w:tcW w:type="dxa" w:w="3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Outcome</w:t>
            </w:r>
          </w:p>
        </w:tc>
        <w:tc>
          <w:tcPr>
            <w:tcW w:type="dxa" w:w="2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Route</w:t>
            </w:r>
          </w:p>
        </w:tc>
        <w:tc>
          <w:tcPr>
            <w:tcW w:type="dxa" w:w="2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Typical limitation</w:t>
            </w:r>
          </w:p>
        </w:tc>
      </w:tr>
      <w:tr>
        <w:tc>
          <w:tcPr>
            <w:tcW w:type="dxa" w:w="3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Family court decree (e.g., divorce/maintenance)</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Appeal to High Court</w:t>
            </w:r>
          </w:p>
        </w:tc>
        <w:tc>
          <w:tcPr>
            <w:tcW w:type="dxa" w:w="2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~90 days (appeal heard expeditiously; ~3 months target)</w:t>
            </w:r>
          </w:p>
        </w:tc>
      </w:tr>
      <w:tr>
        <w:tc>
          <w:tcPr>
            <w:tcW w:type="dxa" w:w="3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High Court order</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SLP / appeal to Supreme Court</w:t>
            </w:r>
          </w:p>
        </w:tc>
        <w:tc>
          <w:tcPr>
            <w:tcW w:type="dxa" w:w="2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Per Supreme Court rules / Limitation Act</w:t>
            </w:r>
          </w:p>
        </w:tc>
      </w:tr>
      <w:tr>
        <w:tc>
          <w:tcPr>
            <w:tcW w:type="dxa" w:w="3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MSA obtained by fraud/coercion</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Challenge validity of consent in court</w:t>
            </w:r>
          </w:p>
        </w:tc>
        <w:tc>
          <w:tcPr>
            <w:tcW w:type="dxa" w:w="2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On discovery; consent must be genuine</w:t>
            </w:r>
          </w:p>
        </w:tc>
      </w:tr>
      <w:tr>
        <w:tc>
          <w:tcPr>
            <w:tcW w:type="dxa" w:w="3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Maintenance quantum</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Revision/appeal as provided</w:t>
            </w:r>
          </w:p>
        </w:tc>
        <w:tc>
          <w:tcPr>
            <w:tcW w:type="dxa" w:w="2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Statute-specific</w:t>
            </w:r>
          </w:p>
        </w:tc>
      </w:tr>
    </w:tbl>
    <w:p>
      <w:pPr>
        <w:spacing w:after="80"/>
      </w:pPr>
      <w:r>
        <w:t xml:space="preserve"/>
      </w:r>
    </w:p>
    <w:p>
      <w:pPr>
        <w:pStyle w:val="Heading2"/>
      </w:pPr>
      <w:r>
        <w:t xml:space="preserve">3.9 Timelines (limitation &amp;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Clock</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Default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Mediation completion</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120 days from first session, extendable +60 (Mediation Act)</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Mutual-consent cooling-off (first→second motion)</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6 months, max 18 months window (court may waive)</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Appeal to High Court</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~90 days (heard expeditiously; ~3-month target)</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DV / maintenance interim</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Endeavour to dispose expeditiously (e.g., ~60 days for interim where provided)</w:t>
            </w:r>
          </w:p>
        </w:tc>
      </w:tr>
    </w:tbl>
    <w:p>
      <w:pPr>
        <w:spacing w:after="80"/>
      </w:pPr>
      <w:r>
        <w:t xml:space="preserve"/>
      </w:r>
    </w:p>
    <w:p>
      <w:pPr>
        <w:pStyle w:val="Heading2"/>
      </w:pPr>
      <w:r>
        <w:t xml:space="preserve">3.10 Practical scenario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Scenario — mutual-consent with a parenting plan</w:t>
            </w:r>
          </w:p>
          <w:p>
            <w:pPr>
              <w:spacing w:after="0"/>
            </w:pPr>
            <w:r>
              <w:rPr>
                <w:color w:val="1F2937"/>
                <w:sz w:val="19"/>
                <w:szCs w:val="19"/>
              </w:rPr>
              <w:t xml:space="preserve">A couple agrees to separate amicably; one child (age 8). Equator opens a FAMILY mediation (tier HIGH; custody flagged non-arbitrable). A trained family mediator runs three online sessions plus a caucus, with an optional child specialist. The parties agree maintenance (lump-sum + monthly), asset division, and a detailed parenting plan (custody with the mother, structured access for the father, schooling and relocation terms). Equator generates the MSA and parenting plan, both e-signed and stamped. The parties file the MSA in the family court for the consent decree; the platform tracks the cooling-off/motion clock and closes the matter as resolved on decree. Total mediation time: ~3 weeks; status decree follows the court's process.</w:t>
            </w:r>
          </w:p>
        </w:tc>
      </w:tr>
    </w:tbl>
    <w:p>
      <w:r>
        <w:br w:type="page"/>
      </w:r>
    </w:p>
    <w:p>
      <w:pPr>
        <w:pStyle w:val="Heading1"/>
      </w:pPr>
      <w:r>
        <w:t xml:space="preserve">4. NBFC – Borrower (Financial) Disputes</w:t>
      </w:r>
    </w:p>
    <w:p>
      <w:pPr>
        <w:pStyle w:val="Heading2"/>
      </w:pPr>
      <w:r>
        <w:t xml:space="preserve">4.1 Logic &amp; governing law</w:t>
      </w:r>
    </w:p>
    <w:p>
      <w:pPr>
        <w:spacing w:after="140" w:line="276"/>
      </w:pPr>
      <w:r>
        <w:t xml:space="preserve">These are contractual money disputes at scale: a borrower defaults or disputes a loan, and the lender (NBFC) seeks recovery or the borrower seeks redress. The law gives lenders several parallel recovery routes and gives borrowers consumer-style protections and a regulator-backed grievance ladder. Equator's role is the consensual layer — conciliation, mediation and (where a clause exists) arbitration — designed to resolve at volume before, or instead of, the heavier statutory recovery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Instrument</w:t>
            </w:r>
          </w:p>
        </w:tc>
        <w:tc>
          <w:tcPr>
            <w:tcW w:type="dxa" w:w="5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Role</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&amp; Conciliation Act, 1996</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Arbitration/conciliation where the loan agreement has an ADR clause.</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SARFAESI Act, 2002</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Secured-creditor enforcement without court (NPA after 90 days; 13(2) demand; 13(3A) borrower objection).</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RDDBFI Act, 1993 (DRT)</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Debt Recovery Tribunals for debts above the prescribed threshold (₹20 lakh).</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Negotiable Instruments Act, 1881 (S.138)</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Cheque-dishonour remedy.</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Insolvency and Bankruptcy Code, 2016</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Insolvency route for qualifying defaults.</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RBI Integrated Ombudsman Scheme, 2021 + Digital Lending Directions, 2025</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Grievance redressal, 30-day escalation, conduct norms, data localisation.</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Legal Services Authorities Act (Lok Adalat)</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Settlement forum; award final, deemed a civil-court decree.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Where Equator sits</w:t>
            </w:r>
          </w:p>
          <w:p>
            <w:pPr>
              <w:spacing w:after="0"/>
            </w:pPr>
            <w:r>
              <w:rPr>
                <w:color w:val="1F2937"/>
                <w:sz w:val="19"/>
                <w:szCs w:val="19"/>
              </w:rPr>
              <w:t xml:space="preserve">Equator is the consensual, clause-driven, high-volume layer. It mirrors the SEBI SMART-ODR ladder: borrower first raises the issue, then a free pre-conciliation window, then conciliation (round-robin neutral), then mediation/arbitration. The statutory routes (SARFAESI, DRT, IBC, S.138) sit alongside as the lender's escalation options; the platform should record which route a matter is on and avoid conflicting parallel action.</w:t>
            </w:r>
          </w:p>
        </w:tc>
      </w:tr>
    </w:tbl>
    <w:p>
      <w:pPr>
        <w:spacing w:after="80"/>
      </w:pPr>
      <w:r>
        <w:t xml:space="preserve"/>
      </w:r>
    </w:p>
    <w:p>
      <w:pPr>
        <w:pStyle w:val="Heading2"/>
      </w:pPr>
      <w:r>
        <w:t xml:space="preserve">4.2 Case types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050"/>
        <w:gridCol w:w="3560"/>
      </w:tblGrid>
      <w:tr>
        <w:trPr>
          <w:tblHeader/>
        </w:trPr>
        <w:tc>
          <w:tcPr>
            <w:tcW w:type="dxa" w:w="27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Case subtype</w:t>
            </w:r>
          </w:p>
        </w:tc>
        <w:tc>
          <w:tcPr>
            <w:tcW w:type="dxa" w:w="30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Trigger</w:t>
            </w:r>
          </w:p>
        </w:tc>
        <w:tc>
          <w:tcPr>
            <w:tcW w:type="dxa" w:w="35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Mechanism</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Loan default — unsecured</w:t>
            </w:r>
          </w:p>
        </w:tc>
        <w:tc>
          <w:tcPr>
            <w:tcW w:type="dxa" w:w="3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EMI default; no security</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Conciliation → mediation/arbitration</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Loan default — secured</w:t>
            </w:r>
          </w:p>
        </w:tc>
        <w:tc>
          <w:tcPr>
            <w:tcW w:type="dxa" w:w="3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Default on secured asset</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Conciliation/mediation; SARFAESI in parallel</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Disputed dues / mis-selling</w:t>
            </w:r>
          </w:p>
        </w:tc>
        <w:tc>
          <w:tcPr>
            <w:tcW w:type="dxa" w:w="3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Borrower disputes amount/terms</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Conciliation → mediation</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Settlement / OTS negotiation</w:t>
            </w:r>
          </w:p>
        </w:tc>
        <w:tc>
          <w:tcPr>
            <w:tcW w:type="dxa" w:w="3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One-time-settlement talks</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Conciliation; settlement plan</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Cheque dishonour</w:t>
            </w:r>
          </w:p>
        </w:tc>
        <w:tc>
          <w:tcPr>
            <w:tcW w:type="dxa" w:w="3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S.138 NI Act trigger</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(compoundable); parallel complaint</w:t>
            </w:r>
          </w:p>
        </w:tc>
      </w:tr>
      <w:tr>
        <w:tc>
          <w:tcPr>
            <w:tcW w:type="dxa" w:w="2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Recovery-harassment grievance</w:t>
            </w:r>
          </w:p>
        </w:tc>
        <w:tc>
          <w:tcPr>
            <w:tcW w:type="dxa" w:w="3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Borrower complaint vs agents</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Grievance → RBI Ombudsman escalation</w:t>
            </w:r>
          </w:p>
        </w:tc>
      </w:tr>
      <w:tr>
        <w:tc>
          <w:tcPr>
            <w:tcW w:type="dxa" w:w="2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Co-lending / assignment dispute</w:t>
            </w:r>
          </w:p>
        </w:tc>
        <w:tc>
          <w:tcPr>
            <w:tcW w:type="dxa" w:w="3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Inter-entity dispute</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(commercial)</w:t>
            </w:r>
          </w:p>
        </w:tc>
      </w:tr>
    </w:tbl>
    <w:p>
      <w:pPr>
        <w:spacing w:after="80"/>
      </w:pPr>
      <w:r>
        <w:t xml:space="preserve"/>
      </w:r>
    </w:p>
    <w:p>
      <w:pPr>
        <w:pStyle w:val="Heading2"/>
      </w:pPr>
      <w:r>
        <w:t xml:space="preserve">4.3 End-to-end workflow (conciliation-first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700"/>
        <w:gridCol w:w="4150"/>
        <w:gridCol w:w="1860"/>
      </w:tblGrid>
      <w:tr>
        <w:trPr>
          <w:tblHeader/>
        </w:trPr>
        <w:tc>
          <w:tcPr>
            <w:tcW w:type="dxa" w:w="16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Stage</w:t>
            </w:r>
          </w:p>
        </w:tc>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State</w:t>
            </w:r>
          </w:p>
        </w:tc>
        <w:tc>
          <w:tcPr>
            <w:tcW w:type="dxa" w:w="41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What happens</w:t>
            </w:r>
          </w:p>
        </w:tc>
        <w:tc>
          <w:tcPr>
            <w:tcW w:type="dxa" w:w="1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Clock / gate</w:t>
            </w:r>
          </w:p>
        </w:tc>
      </w:tr>
      <w:tr>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 Bulk/clause intake</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REGISTERED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Lender uploads loan (CSV/API); clause check; borrower contact verified</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Idempotent on loan ID</w:t>
            </w:r>
          </w:p>
        </w:tc>
      </w:tr>
      <w:tr>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2. Nodal triage</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REGISTERED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Grievance/nodal officer reviews; categorise</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30-day grievance SLA</w:t>
            </w:r>
          </w:p>
        </w:tc>
      </w:tr>
      <w:tr>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Pre-conciliation</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IN_RESOLUTION</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Free window; direct resolution attempt</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Pre-conciliation period</w:t>
            </w:r>
          </w:p>
        </w:tc>
      </w:tr>
      <w:tr>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4. Conciliation</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IN_RESOLUTION</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Round-robin neutral; structured offers; OTS/instalments</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Conciliation window</w:t>
            </w:r>
          </w:p>
        </w:tc>
      </w:tr>
      <w:tr>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5. Escalation</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ESCALATED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If unresolved &amp; clause exists → arbitration (or mediation)</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Notice + appointment</w:t>
            </w:r>
          </w:p>
        </w:tc>
      </w:tr>
      <w:tr>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6. Arbitration</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AWARD_DRAFTED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Pleadings, hearing, reasoned award</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S.29A: 12 (+6) months</w:t>
            </w:r>
          </w:p>
        </w:tc>
      </w:tr>
      <w:tr>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7. Outcome</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SIGNED</w:t>
            </w:r>
          </w:p>
        </w:tc>
        <w:tc>
          <w:tcPr>
            <w:tcW w:type="dxa" w:w="41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Settlement plan or award; e-sign/stamp</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Stamp gate</w:t>
            </w:r>
          </w:p>
        </w:tc>
      </w:tr>
      <w:tr>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8. Recovery</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CLOSED_RESOLVED</w:t>
            </w:r>
          </w:p>
        </w:tc>
        <w:tc>
          <w:tcPr>
            <w:tcW w:type="dxa" w:w="41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Payment plan tracked; award to execution if needed</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Settlement/escrow ledger</w:t>
            </w:r>
          </w:p>
        </w:tc>
      </w:tr>
    </w:tbl>
    <w:p>
      <w:pPr>
        <w:spacing w:after="80"/>
      </w:pPr>
      <w:r>
        <w:t xml:space="preserve"/>
      </w:r>
    </w:p>
    <w:p>
      <w:pPr>
        <w:pStyle w:val="Heading2"/>
      </w:pPr>
      <w:r>
        <w:t xml:space="preserve">4.4 The lender's statutory recovery routes (context &amp;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60"/>
        <w:gridCol w:w="250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Route</w:t>
            </w:r>
          </w:p>
        </w:tc>
        <w:tc>
          <w:tcPr>
            <w:tcW w:type="dxa" w:w="1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When</w:t>
            </w:r>
          </w:p>
        </w:tc>
        <w:tc>
          <w:tcPr>
            <w:tcW w:type="dxa" w:w="32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Key mechanics</w:t>
            </w:r>
          </w:p>
        </w:tc>
        <w:tc>
          <w:tcPr>
            <w:tcW w:type="dxa" w:w="2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Borrower's counter</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SARFAESI</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Secured loan, NPA (90 days)</w:t>
            </w:r>
          </w:p>
        </w:tc>
        <w:tc>
          <w:tcPr>
            <w:tcW w:type="dxa" w:w="3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13(2) demand → 60-day cure; possession; sale</w:t>
            </w:r>
          </w:p>
        </w:tc>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13(3A) objection; DRT S.17 application (~45 days)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DRT (RDDBFI)</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Debt ≥ ₹20 lakh (S.1(4))</w:t>
            </w:r>
          </w:p>
        </w:tc>
        <w:tc>
          <w:tcPr>
            <w:tcW w:type="dxa" w:w="3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Original application; recovery certificate</w:t>
            </w:r>
          </w:p>
        </w:tc>
        <w:tc>
          <w:tcPr>
            <w:tcW w:type="dxa" w:w="2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Defence; appeal to DRAT (with deposit)</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S.138 NI Act</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Cheque bounce</w:t>
            </w:r>
          </w:p>
        </w:tc>
        <w:tc>
          <w:tcPr>
            <w:tcW w:type="dxa" w:w="3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15-day demand; complaint within 30 days</w:t>
            </w:r>
          </w:p>
        </w:tc>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Rebut presumption; compound/settle</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IBC</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Qualifying default</w:t>
            </w:r>
          </w:p>
        </w:tc>
        <w:tc>
          <w:tcPr>
            <w:tcW w:type="dxa" w:w="3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Insolvency application</w:t>
            </w:r>
          </w:p>
        </w:tc>
        <w:tc>
          <w:tcPr>
            <w:tcW w:type="dxa" w:w="2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Dispute/settle pre-admission</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Lok Adalat</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Any stage (consensual)</w:t>
            </w:r>
          </w:p>
        </w:tc>
        <w:tc>
          <w:tcPr>
            <w:tcW w:type="dxa" w:w="3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Settlement; award = decree, final</w:t>
            </w:r>
          </w:p>
        </w:tc>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Must consent; no appeal once agreed</w:t>
            </w:r>
          </w:p>
        </w:tc>
      </w:tr>
    </w:tbl>
    <w:p>
      <w:pPr>
        <w:spacing w:after="80"/>
      </w:pPr>
      <w:r>
        <w:t xml:space="preserve"/>
      </w:r>
    </w:p>
    <w:p>
      <w:pPr>
        <w:pStyle w:val="Heading2"/>
      </w:pPr>
      <w:r>
        <w:t xml:space="preserve">4.5 Defences &amp; objections (borrower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Defence / objection</w:t>
            </w:r>
          </w:p>
        </w:tc>
        <w:tc>
          <w:tcPr>
            <w:tcW w:type="dxa" w:w="5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Effect</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Dispute of quantum / account statement</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Shifts to reconciliation of dues.</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Usurious / non-transparent charges; mis-selling</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Conduct + RBI fair-practice angle.</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Improper service / no valid notice</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Procedural challenge; defeats recovery steps if proven.</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No / invalid arbitration clause</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Arbitration unmaintainable; route elsewhere.</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Limitation (time-barred debt)</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Debt may be unenforceable if barred.</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Coercion / recovery-agent harassment</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Penal + compensation exposure for lender.</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Force majeure / genuine hardship</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Basis for restructuring/OTS, not denial.</w:t>
            </w:r>
          </w:p>
        </w:tc>
      </w:tr>
    </w:tbl>
    <w:p>
      <w:pPr>
        <w:spacing w:after="80"/>
      </w:pPr>
      <w:r>
        <w:t xml:space="preserve"/>
      </w:r>
    </w:p>
    <w:p>
      <w:pPr>
        <w:pStyle w:val="Heading2"/>
      </w:pPr>
      <w:r>
        <w:t xml:space="preserve">4.6 Offences / misconduct (compliance flags)</w:t>
      </w:r>
    </w:p>
    <w:p>
      <w:pPr>
        <w:pStyle w:val="ListParagraph"/>
        <w:numPr>
          <w:ilvl w:val="0"/>
          <w:numId w:val="3"/>
        </w:numPr>
        <w:spacing w:after="60" w:line="268"/>
      </w:pPr>
      <w:r>
        <w:t xml:space="preserve">Recovery-agent harassment, intimidation, or unauthorised disclosure breaches RBI fair-practice norms; the Ombudsman can award compensation (up to ₹20 lakh) and the lender faces regulatory action. Flag and route such complaints to the grievance track, not recovery.</w:t>
      </w:r>
    </w:p>
    <w:p>
      <w:pPr>
        <w:pStyle w:val="ListParagraph"/>
        <w:numPr>
          <w:ilvl w:val="0"/>
          <w:numId w:val="3"/>
        </w:numPr>
        <w:spacing w:after="60" w:line="268"/>
      </w:pPr>
      <w:r>
        <w:t xml:space="preserve">Breach of data-localisation / borrower-consent obligations under the Digital Lending Directions is a regulatory offence — log consent artefacts and keep India data in India.</w:t>
      </w:r>
    </w:p>
    <w:p>
      <w:pPr>
        <w:pStyle w:val="ListParagraph"/>
        <w:numPr>
          <w:ilvl w:val="0"/>
          <w:numId w:val="3"/>
        </w:numPr>
        <w:spacing w:after="60" w:line="268"/>
      </w:pPr>
      <w:r>
        <w:t xml:space="preserve">Continuing recovery action on a time-barred or disputed debt can expose the lender; the platform should surface limitation and dispute flags before escalation.</w:t>
      </w:r>
    </w:p>
    <w:p>
      <w:pPr>
        <w:spacing w:after="80"/>
      </w:pPr>
      <w:r>
        <w:t xml:space="preserve"/>
      </w:r>
    </w:p>
    <w:p>
      <w:pPr>
        <w:pStyle w:val="Heading2"/>
      </w:pPr>
      <w:r>
        <w:t xml:space="preserve">4.7 Remedies &amp; reliefs</w:t>
      </w:r>
    </w:p>
    <w:p>
      <w:pPr>
        <w:pStyle w:val="ListParagraph"/>
        <w:numPr>
          <w:ilvl w:val="0"/>
          <w:numId w:val="3"/>
        </w:numPr>
        <w:spacing w:after="60" w:line="268"/>
      </w:pPr>
      <w:r>
        <w:t xml:space="preserve">Settlement / OTS with a structured instalment plan (tracked via the settlement &amp; escrow ledger).</w:t>
      </w:r>
    </w:p>
    <w:p>
      <w:pPr>
        <w:pStyle w:val="ListParagraph"/>
        <w:numPr>
          <w:ilvl w:val="0"/>
          <w:numId w:val="3"/>
        </w:numPr>
        <w:spacing w:after="60" w:line="268"/>
      </w:pPr>
      <w:r>
        <w:t xml:space="preserve">Reschedule / restructure of the loan.</w:t>
      </w:r>
    </w:p>
    <w:p>
      <w:pPr>
        <w:pStyle w:val="ListParagraph"/>
        <w:numPr>
          <w:ilvl w:val="0"/>
          <w:numId w:val="3"/>
        </w:numPr>
        <w:spacing w:after="60" w:line="268"/>
      </w:pPr>
      <w:r>
        <w:t xml:space="preserve">Arbitral award for the due amount with interest and costs (enforceable as a decree).</w:t>
      </w:r>
    </w:p>
    <w:p>
      <w:pPr>
        <w:pStyle w:val="ListParagraph"/>
        <w:numPr>
          <w:ilvl w:val="0"/>
          <w:numId w:val="3"/>
        </w:numPr>
        <w:spacing w:after="60" w:line="268"/>
      </w:pPr>
      <w:r>
        <w:t xml:space="preserve">Borrower-side: waiver/refund of wrongful charges, compensation for harassment, correction of credit reporting.</w:t>
      </w:r>
    </w:p>
    <w:p>
      <w:pPr>
        <w:spacing w:after="80"/>
      </w:pPr>
      <w:r>
        <w:t xml:space="preserve"/>
      </w:r>
    </w:p>
    <w:p>
      <w:pPr>
        <w:pStyle w:val="Heading2"/>
      </w:pPr>
      <w:r>
        <w:t xml:space="preserve">4.8 Appeals &amp;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tblHeader/>
        </w:trPr>
        <w:tc>
          <w:tcPr>
            <w:tcW w:type="dxa" w:w="3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Outcome</w:t>
            </w:r>
          </w:p>
        </w:tc>
        <w:tc>
          <w:tcPr>
            <w:tcW w:type="dxa" w:w="33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Route</w:t>
            </w:r>
          </w:p>
        </w:tc>
        <w:tc>
          <w:tcPr>
            <w:tcW w:type="dxa" w:w="2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Limitation</w:t>
            </w:r>
          </w:p>
        </w:tc>
      </w:tr>
      <w:tr>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Arbitral award</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 aside under S.34</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months (+30 days condonable, not beyond)</w:t>
            </w:r>
          </w:p>
        </w:tc>
      </w:tr>
      <w:tr>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Order on S.34 / S.9 / S.17</w:t>
            </w:r>
          </w:p>
        </w:tc>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Appeal under S.37</w:t>
            </w:r>
          </w:p>
        </w:tc>
        <w:tc>
          <w:tcPr>
            <w:tcW w:type="dxa" w:w="2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As prescribed (no second appeal/SLP bar nuances)</w:t>
            </w:r>
          </w:p>
        </w:tc>
      </w:tr>
      <w:tr>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SARFAESI measures</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DRT S.17 → DRAT</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S.17: ~45 days; DRAT with deposit</w:t>
            </w:r>
          </w:p>
        </w:tc>
      </w:tr>
      <w:tr>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Ombudsman decision</w:t>
            </w:r>
          </w:p>
        </w:tc>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As per the Scheme</w:t>
            </w:r>
          </w:p>
        </w:tc>
        <w:tc>
          <w:tcPr>
            <w:tcW w:type="dxa" w:w="2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Scheme-specified</w:t>
            </w:r>
          </w:p>
        </w:tc>
      </w:tr>
      <w:tr>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Lok Adalat award</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 appeal; only HC writ (Art.226/227)</w:t>
            </w:r>
          </w:p>
        </w:tc>
        <w:tc>
          <w:tcPr>
            <w:tcW w:type="dxa" w:w="2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Constitutional remedy only</w:t>
            </w:r>
          </w:p>
        </w:tc>
      </w:tr>
    </w:tbl>
    <w:p>
      <w:pPr>
        <w:spacing w:after="80"/>
      </w:pPr>
      <w:r>
        <w:t xml:space="preserve"/>
      </w:r>
    </w:p>
    <w:p>
      <w:pPr>
        <w:pStyle w:val="Heading2"/>
      </w:pPr>
      <w:r>
        <w:t xml:space="preserve">4.9 Timelines (limitation &amp;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Clock</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Default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NPA classification</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90 days of default (then SARFAESI available)</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SARFAESI 13(2) demand → cure</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60 days; lender reply to objection within 15 days</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NBFC complaint response</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~15 working days; escalate to RBI Ombudsman if unresolved in 30 days</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Arbitration trigger (clause)</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Lenders commonly invoke within ~90–120 days of default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Arbitral award (S.29A)</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12 months from completion of pleadings, +6 by consent</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Challenge to award (S.34)</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3 months + 30 days condonable (absolute)</w:t>
            </w:r>
          </w:p>
        </w:tc>
      </w:tr>
    </w:tbl>
    <w:p>
      <w:pPr>
        <w:spacing w:after="80"/>
      </w:pPr>
      <w:r>
        <w:t xml:space="preserve"/>
      </w:r>
    </w:p>
    <w:p>
      <w:pPr>
        <w:pStyle w:val="Heading2"/>
      </w:pPr>
      <w:r>
        <w:t xml:space="preserve">4.10 Practical scenario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Scenario — bulk default to settlement</w:t>
            </w:r>
          </w:p>
          <w:p>
            <w:pPr>
              <w:spacing w:after="0"/>
            </w:pPr>
            <w:r>
              <w:rPr>
                <w:color w:val="1F2937"/>
                <w:sz w:val="19"/>
                <w:szCs w:val="19"/>
              </w:rPr>
              <w:t xml:space="preserve">An NBFC uploads 1,200 defaulted personal loans via the bulk API; each loan agreement contains a conciliation-then-arbitration clause. The platform validates the batch (clean rows become cases; bad rows go to an exception queue), serves defensible multi-channel notices, and routes each to a free pre-conciliation window. ~85% reach paid conciliation; a round-robin neutral proposes one-time-settlements and instalment plans, captured as settlement_payments on the escrow ledger. The ~18% that don't settle and have a clause escalate to arbitration; a sole arbitrator issues reasoned, templated awards within the S.29A clock. Borrowers who complain of agent harassment are split off to the grievance track with the 30-day RBI SLA. Outcome: most matters resolve in weeks at a fraction of DRT cost; awards and settlements feed recovery.</w:t>
            </w:r>
          </w:p>
        </w:tc>
      </w:tr>
    </w:tbl>
    <w:p>
      <w:r>
        <w:br w:type="page"/>
      </w:r>
    </w:p>
    <w:p>
      <w:pPr>
        <w:pStyle w:val="Heading1"/>
      </w:pPr>
      <w:r>
        <w:t xml:space="preserve">5. Commercial, Contractual &amp; Transactional Disputes</w:t>
      </w:r>
    </w:p>
    <w:p>
      <w:pPr>
        <w:pStyle w:val="Heading2"/>
      </w:pPr>
      <w:r>
        <w:t xml:space="preserve">5.1 Logic &amp; governing law</w:t>
      </w:r>
    </w:p>
    <w:p>
      <w:pPr>
        <w:spacing w:after="140" w:line="276"/>
      </w:pPr>
      <w:r>
        <w:t xml:space="preserve">These are the core arbitrable disputes: B2B contracts, transactions, deals, supply, services, MSME payments, shareholder and IP matters (to the extent arbitrable). The Arbitration &amp; Conciliation Act, 1996 supplies the engine; the Commercial Courts Act, 2015 adds a mandatory pre-institution mediation step for non-urgent commercial suits; the MSME Act offers a special conciliation-arbitration path for MSME payment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Instrument</w:t>
            </w:r>
          </w:p>
        </w:tc>
        <w:tc>
          <w:tcPr>
            <w:tcW w:type="dxa" w:w="5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Role</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Arbitration &amp; Conciliation Act, 1996</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Arbitration &amp; conciliation; award enforceable as a decree (S.36).</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Commercial Courts Act, 2015 (S.12A)</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Mandatory pre-institution mediation for non-urgent commercial suits.</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Mediation Act, 2023</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Institutional/online mediation; MSA enforceable as a decree.</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MSMED Act, 2006 (S.15–18)</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MSME payment disputes: MSE Facilitation Council conciliation→arbitration.</w:t>
            </w:r>
          </w:p>
        </w:tc>
      </w:tr>
      <w:tr>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Indian Contract Act, 1872 / Sale of Goods / SRA</w:t>
            </w:r>
          </w:p>
        </w:tc>
        <w:tc>
          <w:tcPr>
            <w:tcW w:type="dxa" w:w="5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Substantive contract law and remedies.</w:t>
            </w:r>
          </w:p>
        </w:tc>
      </w:tr>
      <w:tr>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Specific Relief Act, 1963</w:t>
            </w:r>
          </w:p>
        </w:tc>
        <w:tc>
          <w:tcPr>
            <w:tcW w:type="dxa" w:w="5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Specific performance, injunctions.</w:t>
            </w:r>
          </w:p>
        </w:tc>
      </w:tr>
    </w:tbl>
    <w:p>
      <w:pPr>
        <w:spacing w:after="80"/>
      </w:pPr>
      <w:r>
        <w:t xml:space="preserve"/>
      </w:r>
    </w:p>
    <w:p>
      <w:pPr>
        <w:pStyle w:val="Heading2"/>
      </w:pPr>
      <w:r>
        <w:t xml:space="preserve">5.2 Case types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Case subtype</w:t>
            </w:r>
          </w:p>
        </w:tc>
        <w:tc>
          <w:tcPr>
            <w:tcW w:type="dxa" w:w="3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Examples</w:t>
            </w:r>
          </w:p>
        </w:tc>
        <w:tc>
          <w:tcPr>
            <w:tcW w:type="dxa" w:w="33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Mechanism</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Contract performance / breach</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Non-delivery, defective performance, retention</w:t>
            </w:r>
          </w:p>
        </w:tc>
        <w:tc>
          <w:tcPr>
            <w:tcW w:type="dxa" w:w="3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 mediation</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Payment / recovery (B2B)</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Unpaid invoices, debit notes</w:t>
            </w:r>
          </w:p>
        </w:tc>
        <w:tc>
          <w:tcPr>
            <w:tcW w:type="dxa" w:w="3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Arbitration / mediation; MSME council if eligible</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Supply &amp; services</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SLA breaches, service quality</w:t>
            </w:r>
          </w:p>
        </w:tc>
        <w:tc>
          <w:tcPr>
            <w:tcW w:type="dxa" w:w="3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 mediation</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Transaction / deal disputes</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SPA/SHA, earn-outs, indemnities</w:t>
            </w:r>
          </w:p>
        </w:tc>
        <w:tc>
          <w:tcPr>
            <w:tcW w:type="dxa" w:w="3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Arbitration</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Joint venture / shareholder (arbitrable)</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JV exit, deadlock terms</w:t>
            </w:r>
          </w:p>
        </w:tc>
        <w:tc>
          <w:tcPr>
            <w:tcW w:type="dxa" w:w="3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 mediation</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IP &amp; technology (arbitrable aspects)</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Licensing, royalties</w:t>
            </w:r>
          </w:p>
        </w:tc>
        <w:tc>
          <w:tcPr>
            <w:tcW w:type="dxa" w:w="3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Arbitration</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Construction / infrastructure</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Delay, variation, EPC claims</w:t>
            </w:r>
          </w:p>
        </w:tc>
        <w:tc>
          <w:tcPr>
            <w:tcW w:type="dxa" w:w="3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Arbitration (often 3-member)</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MSME delayed payment</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Buyer delay beyond 45 days</w:t>
            </w:r>
          </w:p>
        </w:tc>
        <w:tc>
          <w:tcPr>
            <w:tcW w:type="dxa" w:w="3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Council conciliation → arbitration</w:t>
            </w:r>
          </w:p>
        </w:tc>
      </w:tr>
    </w:tbl>
    <w:p>
      <w:pPr>
        <w:spacing w:after="80"/>
      </w:pPr>
      <w:r>
        <w:t xml:space="preserve"/>
      </w:r>
    </w:p>
    <w:p>
      <w:pPr>
        <w:pStyle w:val="Heading2"/>
      </w:pPr>
      <w:r>
        <w:t xml:space="preserve">5.3 End-to-end workflow (arbitration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4100"/>
        <w:gridCol w:w="1860"/>
      </w:tblGrid>
      <w:tr>
        <w:trPr>
          <w:tblHeader/>
        </w:trPr>
        <w:tc>
          <w:tcPr>
            <w:tcW w:type="dxa" w:w="17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Stage</w:t>
            </w:r>
          </w:p>
        </w:tc>
        <w:tc>
          <w:tcPr>
            <w:tcW w:type="dxa" w:w="16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State</w:t>
            </w:r>
          </w:p>
        </w:tc>
        <w:tc>
          <w:tcPr>
            <w:tcW w:type="dxa" w:w="4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What happens</w:t>
            </w:r>
          </w:p>
        </w:tc>
        <w:tc>
          <w:tcPr>
            <w:tcW w:type="dxa" w:w="1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Clock / gate</w:t>
            </w:r>
          </w:p>
        </w:tc>
      </w:tr>
      <w:tr>
        <w:tc>
          <w:tcPr>
            <w:tcW w:type="dxa" w:w="1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 Pre-institution / clause</w:t>
            </w:r>
          </w:p>
        </w:tc>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REGISTERED</w:t>
            </w:r>
          </w:p>
        </w:tc>
        <w:tc>
          <w:tcPr>
            <w:tcW w:type="dxa" w:w="4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Check clause; for court route, mandatory S.12A mediation (non-urgent)</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S.12A: 3 (+2) months</w:t>
            </w:r>
          </w:p>
        </w:tc>
      </w:tr>
      <w:tr>
        <w:tc>
          <w:tcPr>
            <w:tcW w:type="dxa" w:w="1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2. Notice of arbitration</w:t>
            </w:r>
          </w:p>
        </w:tc>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NOTICE_SERVED</w:t>
            </w:r>
          </w:p>
        </w:tc>
        <w:tc>
          <w:tcPr>
            <w:tcW w:type="dxa" w:w="4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Invoke clause; serve notice; reply</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Response window</w:t>
            </w:r>
          </w:p>
        </w:tc>
      </w:tr>
      <w:tr>
        <w:tc>
          <w:tcPr>
            <w:tcW w:type="dxa" w:w="1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3. Tribunal constitution</w:t>
            </w:r>
          </w:p>
        </w:tc>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NEUTRAL_APPOINTED</w:t>
            </w:r>
          </w:p>
        </w:tc>
        <w:tc>
          <w:tcPr>
            <w:tcW w:type="dxa" w:w="4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Sole or 3-member; conflict checks; ToR</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Appointment timeline</w:t>
            </w:r>
          </w:p>
        </w:tc>
      </w:tr>
      <w:tr>
        <w:tc>
          <w:tcPr>
            <w:tcW w:type="dxa" w:w="1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4. Pleadings</w:t>
            </w:r>
          </w:p>
        </w:tc>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IN_RESOLUTION</w:t>
            </w:r>
          </w:p>
        </w:tc>
        <w:tc>
          <w:tcPr>
            <w:tcW w:type="dxa" w:w="4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Statement of claim (S.23), defence, counterclaim, rejoinder</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Pleadings completion</w:t>
            </w:r>
          </w:p>
        </w:tc>
      </w:tr>
      <w:tr>
        <w:tc>
          <w:tcPr>
            <w:tcW w:type="dxa" w:w="1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5. Interim relief</w:t>
            </w:r>
          </w:p>
        </w:tc>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IN_RESOLUTION</w:t>
            </w:r>
          </w:p>
        </w:tc>
        <w:tc>
          <w:tcPr>
            <w:tcW w:type="dxa" w:w="4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S.17 (tribunal) / S.9 (court) interim measures</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On application</w:t>
            </w:r>
          </w:p>
        </w:tc>
      </w:tr>
      <w:tr>
        <w:tc>
          <w:tcPr>
            <w:tcW w:type="dxa" w:w="1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6. Hearings &amp; evidence</w:t>
            </w:r>
          </w:p>
        </w:tc>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IN_RESOLUTION</w:t>
            </w:r>
          </w:p>
        </w:tc>
        <w:tc>
          <w:tcPr>
            <w:tcW w:type="dxa" w:w="4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Documents, witnesses, arguments (online)</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Hearing schedule</w:t>
            </w:r>
          </w:p>
        </w:tc>
      </w:tr>
      <w:tr>
        <w:tc>
          <w:tcPr>
            <w:tcW w:type="dxa" w:w="1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7. Award</w:t>
            </w:r>
          </w:p>
        </w:tc>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AWARD_DRAFTED</w:t>
            </w:r>
          </w:p>
        </w:tc>
        <w:tc>
          <w:tcPr>
            <w:tcW w:type="dxa" w:w="4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Reasoned award; costs</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S.29A: 12 (+6) months from pleadings</w:t>
            </w:r>
          </w:p>
        </w:tc>
      </w:tr>
      <w:tr>
        <w:tc>
          <w:tcPr>
            <w:tcW w:type="dxa" w:w="17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8. Authentication</w:t>
            </w:r>
          </w:p>
        </w:tc>
        <w:tc>
          <w:tcPr>
            <w:tcW w:type="dxa" w:w="1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SIGNED</w:t>
            </w:r>
          </w:p>
        </w:tc>
        <w:tc>
          <w:tcPr>
            <w:tcW w:type="dxa" w:w="4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Tribunal signs; stamp</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Stamp gate</w:t>
            </w:r>
          </w:p>
        </w:tc>
      </w:tr>
      <w:tr>
        <w:tc>
          <w:tcPr>
            <w:tcW w:type="dxa" w:w="17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9. Post-award</w:t>
            </w:r>
          </w:p>
        </w:tc>
        <w:tc>
          <w:tcPr>
            <w:tcW w:type="dxa" w:w="1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CLOSED_RESOLVED</w:t>
            </w:r>
          </w:p>
        </w:tc>
        <w:tc>
          <w:tcPr>
            <w:tcW w:type="dxa" w:w="4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Challenge window; then enforcement (S.36)</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S.34 window</w:t>
            </w:r>
          </w:p>
        </w:tc>
      </w:tr>
    </w:tbl>
    <w:p>
      <w:pPr>
        <w:spacing w:after="80"/>
      </w:pPr>
      <w:r>
        <w:t xml:space="preserve"/>
      </w:r>
    </w:p>
    <w:p>
      <w:pPr>
        <w:pStyle w:val="Heading2"/>
      </w:pPr>
      <w:r>
        <w:t xml:space="preserve">5.4 Defences &amp; objections (respondent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Defence / objection</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Stage / effect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 / invalid / inoperative arbitration agreement</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Jurisdictional; S.16 kompetenz-kompetenz.</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Tribunal lacks jurisdiction / scope exceeded</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S.16; later a S.34 ground.</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Claim time-barred (limitation)</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Bars the claim if established.</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Performance / discharge / accord &amp; satisfaction</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Substantive contract defence.</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Breach by claimant / set-off / counterclaim</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Reduces or defeats claim.</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Force majeure / frustration</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Excuses performance.</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Non-compliance with pre-arbitration steps</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Premature; multi-tier clause not exhausted.</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Bias / procedural unfairness</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S.12/13 challenge to arbitrator; S.34 ground.</w:t>
            </w:r>
          </w:p>
        </w:tc>
      </w:tr>
    </w:tbl>
    <w:p>
      <w:pPr>
        <w:spacing w:after="80"/>
      </w:pPr>
      <w:r>
        <w:t xml:space="preserve"/>
      </w:r>
    </w:p>
    <w:p>
      <w:pPr>
        <w:pStyle w:val="Heading2"/>
      </w:pPr>
      <w:r>
        <w:t xml:space="preserve">5.5 Remedies &amp; reliefs</w:t>
      </w:r>
    </w:p>
    <w:p>
      <w:pPr>
        <w:pStyle w:val="ListParagraph"/>
        <w:numPr>
          <w:ilvl w:val="0"/>
          <w:numId w:val="3"/>
        </w:numPr>
        <w:spacing w:after="60" w:line="268"/>
      </w:pPr>
      <w:r>
        <w:t xml:space="preserve">Monetary award (damages/debt) with interest (pre-award, pendente lite, and post-award) and costs.</w:t>
      </w:r>
    </w:p>
    <w:p>
      <w:pPr>
        <w:pStyle w:val="ListParagraph"/>
        <w:numPr>
          <w:ilvl w:val="0"/>
          <w:numId w:val="3"/>
        </w:numPr>
        <w:spacing w:after="60" w:line="268"/>
      </w:pPr>
      <w:r>
        <w:t xml:space="preserve">Specific performance / injunctions (where arbitrable and appropriate).</w:t>
      </w:r>
    </w:p>
    <w:p>
      <w:pPr>
        <w:pStyle w:val="ListParagraph"/>
        <w:numPr>
          <w:ilvl w:val="0"/>
          <w:numId w:val="3"/>
        </w:numPr>
        <w:spacing w:after="60" w:line="268"/>
      </w:pPr>
      <w:r>
        <w:t xml:space="preserve">Declaratory relief; rectification; restitution.</w:t>
      </w:r>
    </w:p>
    <w:p>
      <w:pPr>
        <w:pStyle w:val="ListParagraph"/>
        <w:numPr>
          <w:ilvl w:val="0"/>
          <w:numId w:val="3"/>
        </w:numPr>
        <w:spacing w:after="60" w:line="268"/>
      </w:pPr>
      <w:r>
        <w:t xml:space="preserve">Interim measures: preservation of assets/property, security for claim, status quo (S.17/S.9).</w:t>
      </w:r>
    </w:p>
    <w:p>
      <w:pPr>
        <w:pStyle w:val="ListParagraph"/>
        <w:numPr>
          <w:ilvl w:val="0"/>
          <w:numId w:val="3"/>
        </w:numPr>
        <w:spacing w:after="60" w:line="268"/>
      </w:pPr>
      <w:r>
        <w:t xml:space="preserve">Settlement / MSA at any stage (consent award on agreed terms, S.30).</w:t>
      </w:r>
    </w:p>
    <w:p>
      <w:pPr>
        <w:spacing w:after="80"/>
      </w:pPr>
      <w:r>
        <w:t xml:space="preserve"/>
      </w:r>
    </w:p>
    <w:p>
      <w:pPr>
        <w:pStyle w:val="Heading2"/>
      </w:pPr>
      <w:r>
        <w:t xml:space="preserve">5.6 Appeals &amp;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Outcome</w:t>
            </w:r>
          </w:p>
        </w:tc>
        <w:tc>
          <w:tcPr>
            <w:tcW w:type="dxa" w:w="3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Route</w:t>
            </w:r>
          </w:p>
        </w:tc>
        <w:tc>
          <w:tcPr>
            <w:tcW w:type="dxa" w:w="2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Limitation / note</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Arbitral award</w:t>
            </w:r>
          </w:p>
        </w:tc>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Set aside — S.34 (limited grounds)</w:t>
            </w:r>
          </w:p>
        </w:tc>
        <w:tc>
          <w:tcPr>
            <w:tcW w:type="dxa" w:w="2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months + 30 days condonable (absolute)</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Specified orders (S.9, S.17, refusal/grant of S.34)</w:t>
            </w:r>
          </w:p>
        </w:tc>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Appeal — S.37</w:t>
            </w:r>
          </w:p>
        </w:tc>
        <w:tc>
          <w:tcPr>
            <w:tcW w:type="dxa" w:w="2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Statutory; limited; no further appeal except SLP</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Enforcement</w:t>
            </w:r>
          </w:p>
        </w:tc>
        <w:tc>
          <w:tcPr>
            <w:tcW w:type="dxa" w:w="3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S.36 — award executed as a decree</w:t>
            </w:r>
          </w:p>
        </w:tc>
        <w:tc>
          <w:tcPr>
            <w:tcW w:type="dxa" w:w="2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After S.34 window/dismissal</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Foreign award</w:t>
            </w:r>
          </w:p>
        </w:tc>
        <w:tc>
          <w:tcPr>
            <w:tcW w:type="dxa" w:w="3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Part II (NY Convention) enforcement</w:t>
            </w:r>
          </w:p>
        </w:tc>
        <w:tc>
          <w:tcPr>
            <w:tcW w:type="dxa" w:w="2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Limited refusal grounds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S.34 is narrow by design</w:t>
            </w:r>
          </w:p>
          <w:p>
            <w:pPr>
              <w:spacing w:after="0"/>
            </w:pPr>
            <w:r>
              <w:rPr>
                <w:color w:val="1F2937"/>
                <w:sz w:val="19"/>
                <w:szCs w:val="19"/>
              </w:rPr>
              <w:t xml:space="preserve">An award is not re-heard on merits. Grounds are limited: incapacity, invalid agreement, lack of notice/opportunity, scope excess, improper tribunal/procedure, non-arbitrability, or conflict with public policy (fraud, fundamental policy of Indian law, basic notions of justice). Patent illegality applies to purely domestic awards. Build the S.34 clock as absolute — courts cannot condone beyond 30 days past the 3 months.</w:t>
            </w:r>
          </w:p>
        </w:tc>
      </w:tr>
    </w:tbl>
    <w:p>
      <w:pPr>
        <w:spacing w:after="80"/>
      </w:pPr>
      <w:r>
        <w:t xml:space="preserve"/>
      </w:r>
    </w:p>
    <w:p>
      <w:pPr>
        <w:pStyle w:val="Heading2"/>
      </w:pPr>
      <w:r>
        <w:t xml:space="preserve">5.7 Timelines (limitation &amp;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Clock</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Default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Pre-institution mediation (S.12A)</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months, extendable +2 by consent (excluded from limitation)</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MSME council resolution</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Endeavour within 90 days</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Completion of pleadings → award (S.29A)</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12 months, +6 by consent; court extension on sufficient cause</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Statement of defence</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As fixed by tribunal/rules</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Challenge to award (S.34)</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months from receipt + 30 days condonable (not beyond)</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Underlying contractual claim</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Generally 3 years (Limitation Act) — confirm per cause of action</w:t>
            </w:r>
          </w:p>
        </w:tc>
      </w:tr>
    </w:tbl>
    <w:p>
      <w:pPr>
        <w:spacing w:after="80"/>
      </w:pPr>
      <w:r>
        <w:t xml:space="preserve"/>
      </w:r>
    </w:p>
    <w:p>
      <w:pPr>
        <w:pStyle w:val="Heading2"/>
      </w:pPr>
      <w:r>
        <w:t xml:space="preserve">5.8 Practical scenario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Scenario — supply-contract arbitration</w:t>
            </w:r>
          </w:p>
          <w:p>
            <w:pPr>
              <w:spacing w:after="0"/>
            </w:pPr>
            <w:r>
              <w:rPr>
                <w:color w:val="1F2937"/>
                <w:sz w:val="19"/>
                <w:szCs w:val="19"/>
              </w:rPr>
              <w:t xml:space="preserve">A buyer withholds ₹42 lakh retention claiming defective Phase-2 delivery; the supply agreement has a sole-arbitrator clause, seat Mumbai. Equator opens a COMMERCIAL arbitration. The claimant files the statement of claim; the respondent pleads defective performance and counterclaims for rectification cost. The claimant seeks S.17 interim security; the tribunal orders partial security. After two online evidentiary hearings, the tribunal issues a reasoned award directing payment of the retention with 9% interest and ₹3.5 lakh costs, within the S.29A clock. The award is e-signed and stamped. The respondent's 3-month S.34 window runs; no challenge is filed, so the award becomes enforceable as a decree under S.36.</w:t>
            </w:r>
          </w:p>
        </w:tc>
      </w:tr>
    </w:tbl>
    <w:p>
      <w:r>
        <w:br w:type="page"/>
      </w:r>
    </w:p>
    <w:p>
      <w:pPr>
        <w:pStyle w:val="Heading1"/>
      </w:pPr>
      <w:r>
        <w:t xml:space="preserve">6. Workplace (POSH) &amp; Internal Grievance</w:t>
      </w:r>
    </w:p>
    <w:p>
      <w:pPr>
        <w:pStyle w:val="Heading2"/>
      </w:pPr>
      <w:r>
        <w:t xml:space="preserve">6.1 Logic &amp; governing law</w:t>
      </w:r>
    </w:p>
    <w:p>
      <w:pPr>
        <w:spacing w:after="140" w:line="276"/>
      </w:pPr>
      <w:r>
        <w:t xml:space="preserve">Workplace sexual-harassment complaints are governed by a dedicated statute with a mandatory internal mechanism — they are not arbitrable and not a matter for ordinary mediation. The Internal Committee (IC) conducts a quasi-judicial inquiry; Equator's role is to provide the IC workspace, enforce confidentiality and timelines, and provide a lawful escalation path (e.g., to conciliation only where the Act permits and the aggrieved woman requests it, or to EDRS-administered processes for related civil matters). General (non-POSH) grievances are contractual/policy matters and can be mediated.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Instrument</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Role</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Sexual Harassment of Women at Workplace (Prevention, Prohibition and Redressal) Act, 2013 (POSH)</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IC/LC inquiry, timelines, remedies, confidentiality, appeal.</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POSH Rules, 2013</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Procedure, committee composition, report format.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SHe-Box portal</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Single-window complaint routing &amp; monitoring.</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Company HR / grievance policy</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General grievance redressal (non-POSH).</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Industrial / employment law</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Disciplinary action consequences.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2E2" w:sz="1"/>
              <w:left w:val="single" w:color="9B1C1C" w:sz="24"/>
              <w:bottom w:val="single" w:color="FDE2E2" w:sz="1"/>
              <w:right w:val="single" w:color="FDE2E2" w:sz="1"/>
            </w:tcBorders>
            <w:shd w:fill="FDE2E2" w:val="clear"/>
            <w:tcMar>
              <w:top w:type="dxa" w:w="120"/>
              <w:left w:type="dxa" w:w="160"/>
              <w:bottom w:type="dxa" w:w="120"/>
              <w:right w:type="dxa" w:w="160"/>
            </w:tcMar>
          </w:tcPr>
          <w:p>
            <w:pPr>
              <w:spacing w:after="60"/>
            </w:pPr>
            <w:r>
              <w:rPr>
                <w:b/>
                <w:bCs/>
                <w:color w:val="0B2A4A"/>
                <w:sz w:val="20"/>
                <w:szCs w:val="20"/>
              </w:rPr>
              <w:t xml:space="preserve">Confidentiality is statutory</w:t>
            </w:r>
          </w:p>
          <w:p>
            <w:pPr>
              <w:spacing w:after="0"/>
            </w:pPr>
            <w:r>
              <w:rPr>
                <w:color w:val="1F2937"/>
                <w:sz w:val="19"/>
                <w:szCs w:val="19"/>
              </w:rPr>
              <w:t xml:space="preserve">Under the POSH Act, the identity of the aggrieved woman, the respondent, witnesses, and the contents of the complaint and proceedings must not be published or disclosed; breach carries a penalty. The platform's POSH confidentiality tier (Architecture §9) enforces field-level encryption and need-to-know access, with break-glass logging.</w:t>
            </w:r>
          </w:p>
        </w:tc>
      </w:tr>
    </w:tbl>
    <w:p>
      <w:pPr>
        <w:spacing w:after="80"/>
      </w:pPr>
      <w:r>
        <w:t xml:space="preserve"/>
      </w:r>
    </w:p>
    <w:p>
      <w:pPr>
        <w:pStyle w:val="Heading2"/>
      </w:pPr>
      <w:r>
        <w:t xml:space="preserve">6.2 Composition of the Internal Committee (IC)</w:t>
      </w:r>
    </w:p>
    <w:p>
      <w:pPr>
        <w:pStyle w:val="ListParagraph"/>
        <w:numPr>
          <w:ilvl w:val="0"/>
          <w:numId w:val="3"/>
        </w:numPr>
        <w:spacing w:after="60" w:line="268"/>
      </w:pPr>
      <w:r>
        <w:t xml:space="preserve">Presiding Officer: a senior woman employee.</w:t>
      </w:r>
    </w:p>
    <w:p>
      <w:pPr>
        <w:pStyle w:val="ListParagraph"/>
        <w:numPr>
          <w:ilvl w:val="0"/>
          <w:numId w:val="3"/>
        </w:numPr>
        <w:spacing w:after="60" w:line="268"/>
      </w:pPr>
      <w:r>
        <w:t xml:space="preserve">At least two members from amongst employees, preferably committed to the cause of women or with relevant experience.</w:t>
      </w:r>
    </w:p>
    <w:p>
      <w:pPr>
        <w:pStyle w:val="ListParagraph"/>
        <w:numPr>
          <w:ilvl w:val="0"/>
          <w:numId w:val="3"/>
        </w:numPr>
        <w:spacing w:after="60" w:line="268"/>
      </w:pPr>
      <w:r>
        <w:t xml:space="preserve">One external member from an NGO/association or a person familiar with issues of sexual harassment.</w:t>
      </w:r>
    </w:p>
    <w:p>
      <w:pPr>
        <w:pStyle w:val="ListParagraph"/>
        <w:numPr>
          <w:ilvl w:val="0"/>
          <w:numId w:val="3"/>
        </w:numPr>
        <w:spacing w:after="60" w:line="268"/>
      </w:pPr>
      <w:r>
        <w:t xml:space="preserve">At least one-half of the total members must be women.</w:t>
      </w:r>
    </w:p>
    <w:p>
      <w:pPr>
        <w:spacing w:after="80"/>
      </w:pPr>
      <w:r>
        <w:t xml:space="preserve"/>
      </w:r>
    </w:p>
    <w:p>
      <w:pPr>
        <w:pStyle w:val="Heading2"/>
      </w:pPr>
      <w:r>
        <w:t xml:space="preserve">6.3 End-to-end workflow (POSH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50"/>
        <w:gridCol w:w="4050"/>
        <w:gridCol w:w="176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Stage</w:t>
            </w:r>
          </w:p>
        </w:tc>
        <w:tc>
          <w:tcPr>
            <w:tcW w:type="dxa" w:w="18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State</w:t>
            </w:r>
          </w:p>
        </w:tc>
        <w:tc>
          <w:tcPr>
            <w:tcW w:type="dxa" w:w="40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What happens</w:t>
            </w:r>
          </w:p>
        </w:tc>
        <w:tc>
          <w:tcPr>
            <w:tcW w:type="dxa" w:w="1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Clock / gate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 Complaint</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FILED</w:t>
            </w:r>
          </w:p>
        </w:tc>
        <w:tc>
          <w:tcPr>
            <w:tcW w:type="dxa" w:w="4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Written complaint within 3 months (extendable +3); tier POSH</w:t>
            </w:r>
          </w:p>
        </w:tc>
        <w:tc>
          <w:tcPr>
            <w:tcW w:type="dxa" w:w="1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Limitation 3 (+3) months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2. Notice to respondent</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NOTICE_SERVED</w:t>
            </w:r>
          </w:p>
        </w:tc>
        <w:tc>
          <w:tcPr>
            <w:tcW w:type="dxa" w:w="4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Copy to respondent within 7 days</w:t>
            </w:r>
          </w:p>
        </w:tc>
        <w:tc>
          <w:tcPr>
            <w:tcW w:type="dxa" w:w="1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Respondent reply in 10 days</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3. Conciliation (optional)</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IN_RESOLUTION</w:t>
            </w:r>
          </w:p>
        </w:tc>
        <w:tc>
          <w:tcPr>
            <w:tcW w:type="dxa" w:w="4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Only at aggrieved woman's request; no monetary 'settlement' as quid pro quo</w:t>
            </w:r>
          </w:p>
        </w:tc>
        <w:tc>
          <w:tcPr>
            <w:tcW w:type="dxa" w:w="1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Pre-inquiry</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4. Inquiry</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IN_RESOLUTION</w:t>
            </w:r>
          </w:p>
        </w:tc>
        <w:tc>
          <w:tcPr>
            <w:tcW w:type="dxa" w:w="4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Both sides heard; evidence; natural justice; quorum</w:t>
            </w:r>
          </w:p>
        </w:tc>
        <w:tc>
          <w:tcPr>
            <w:tcW w:type="dxa" w:w="1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90-day completion</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5. Report</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AWARD_DRAFTED</w:t>
            </w:r>
          </w:p>
        </w:tc>
        <w:tc>
          <w:tcPr>
            <w:tcW w:type="dxa" w:w="4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Findings &amp; recommendations; report within 10 days of completion</w:t>
            </w:r>
          </w:p>
        </w:tc>
        <w:tc>
          <w:tcPr>
            <w:tcW w:type="dxa" w:w="1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10-day report</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6. Action</w:t>
            </w:r>
          </w:p>
        </w:tc>
        <w:tc>
          <w:tcPr>
            <w:tcW w:type="dxa" w:w="18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SIGNED</w:t>
            </w:r>
          </w:p>
        </w:tc>
        <w:tc>
          <w:tcPr>
            <w:tcW w:type="dxa" w:w="40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Employer acts on recommendations</w:t>
            </w:r>
          </w:p>
        </w:tc>
        <w:tc>
          <w:tcPr>
            <w:tcW w:type="dxa" w:w="1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Within 60 days</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7. Closure / escalation</w:t>
            </w:r>
          </w:p>
        </w:tc>
        <w:tc>
          <w:tcPr>
            <w:tcW w:type="dxa" w:w="18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CLOSED_RESOLVED / ESCALATED</w:t>
            </w:r>
          </w:p>
        </w:tc>
        <w:tc>
          <w:tcPr>
            <w:tcW w:type="dxa" w:w="40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Close; or appeal; related civil matters → EDRS</w:t>
            </w:r>
          </w:p>
        </w:tc>
        <w:tc>
          <w:tcPr>
            <w:tcW w:type="dxa" w:w="1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Appeal 90 days</w:t>
            </w:r>
          </w:p>
        </w:tc>
      </w:tr>
    </w:tbl>
    <w:p>
      <w:pPr>
        <w:spacing w:after="80"/>
      </w:pPr>
      <w:r>
        <w:t xml:space="preserve"/>
      </w:r>
    </w:p>
    <w:p>
      <w:pPr>
        <w:pStyle w:val="Heading2"/>
      </w:pPr>
      <w:r>
        <w:t xml:space="preserve">6.4 Respondent's defences &amp;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Defence / right</w:t>
            </w:r>
          </w:p>
        </w:tc>
        <w:tc>
          <w:tcPr>
            <w:tcW w:type="dxa" w:w="5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Effect</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Right to be heard; copy of complaint &amp; evidence</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Natural justice; failure vitiates inquiry.</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Denial / alternative account</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Inquiry weighs probabilities.</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Complaint beyond limitation</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Maintainability (unless delay condoned with reasons).</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Malice / false complaint</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If proven false with malicious intent, action may lie against complainant (high threshold; not for unproven complaints).</w:t>
            </w:r>
          </w:p>
        </w:tc>
      </w:tr>
      <w:tr>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No employer-employee / workplace nexus</w:t>
            </w:r>
          </w:p>
        </w:tc>
        <w:tc>
          <w:tcPr>
            <w:tcW w:type="dxa" w:w="5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Scope/jurisdiction of the IC.</w:t>
            </w:r>
          </w:p>
        </w:tc>
      </w:tr>
      <w:tr>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Procedural irregularity / bias</w:t>
            </w:r>
          </w:p>
        </w:tc>
        <w:tc>
          <w:tcPr>
            <w:tcW w:type="dxa" w:w="5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Ground for appeal.</w:t>
            </w:r>
          </w:p>
        </w:tc>
      </w:tr>
    </w:tbl>
    <w:p>
      <w:pPr>
        <w:spacing w:after="80"/>
      </w:pPr>
      <w:r>
        <w:t xml:space="preserve"/>
      </w:r>
    </w:p>
    <w:p>
      <w:pPr>
        <w:pStyle w:val="Heading2"/>
      </w:pPr>
      <w:r>
        <w:t xml:space="preserve">6.5 Interim reliefs, remedies &amp; action</w:t>
      </w:r>
    </w:p>
    <w:p>
      <w:pPr>
        <w:pStyle w:val="ListParagraph"/>
        <w:numPr>
          <w:ilvl w:val="0"/>
          <w:numId w:val="3"/>
        </w:numPr>
        <w:spacing w:after="60" w:line="268"/>
      </w:pPr>
      <w:r>
        <w:t xml:space="preserve">Interim (during inquiry): transfer of complainant or respondent; up to 3 months' additional leave for the complainant; restrain the respondent from reporting on her work.</w:t>
      </w:r>
    </w:p>
    <w:p>
      <w:pPr>
        <w:pStyle w:val="ListParagraph"/>
        <w:numPr>
          <w:ilvl w:val="0"/>
          <w:numId w:val="3"/>
        </w:numPr>
        <w:spacing w:after="60" w:line="268"/>
      </w:pPr>
      <w:r>
        <w:t xml:space="preserve">On findings: disciplinary action per service rules (warning, censure, withholding increments/promotion, termination).</w:t>
      </w:r>
    </w:p>
    <w:p>
      <w:pPr>
        <w:pStyle w:val="ListParagraph"/>
        <w:numPr>
          <w:ilvl w:val="0"/>
          <w:numId w:val="3"/>
        </w:numPr>
        <w:spacing w:after="60" w:line="268"/>
      </w:pPr>
      <w:r>
        <w:t xml:space="preserve">Compensation to the aggrieved woman, assessed on statutory factors (mental trauma, loss of opportunity, income/status of respondent, feasibility of recovery).</w:t>
      </w:r>
    </w:p>
    <w:p>
      <w:pPr>
        <w:pStyle w:val="ListParagraph"/>
        <w:numPr>
          <w:ilvl w:val="0"/>
          <w:numId w:val="3"/>
        </w:numPr>
        <w:spacing w:after="60" w:line="268"/>
      </w:pPr>
      <w:r>
        <w:t xml:space="preserve">Deduction from the respondent's salary to pay compensation, where ordered.</w:t>
      </w:r>
    </w:p>
    <w:p>
      <w:pPr>
        <w:spacing w:after="80"/>
      </w:pPr>
      <w:r>
        <w:t xml:space="preserve"/>
      </w:r>
    </w:p>
    <w:p>
      <w:pPr>
        <w:pStyle w:val="Heading2"/>
      </w:pPr>
      <w:r>
        <w:t xml:space="preserve">6.6 Offences / penalties (employer &amp; disclosure)</w:t>
      </w:r>
    </w:p>
    <w:p>
      <w:pPr>
        <w:pStyle w:val="ListParagraph"/>
        <w:numPr>
          <w:ilvl w:val="0"/>
          <w:numId w:val="3"/>
        </w:numPr>
        <w:spacing w:after="60" w:line="268"/>
      </w:pPr>
      <w:r>
        <w:t xml:space="preserve">Employer non-compliance (no IC, failure to act) attracts penalty and, on repeat, higher penalty and possible cancellation of licence/registration.</w:t>
      </w:r>
    </w:p>
    <w:p>
      <w:pPr>
        <w:pStyle w:val="ListParagraph"/>
        <w:numPr>
          <w:ilvl w:val="0"/>
          <w:numId w:val="3"/>
        </w:numPr>
        <w:spacing w:after="60" w:line="268"/>
      </w:pPr>
      <w:r>
        <w:t xml:space="preserve">Breach of confidentiality carries a specific penalty.</w:t>
      </w:r>
    </w:p>
    <w:p>
      <w:pPr>
        <w:pStyle w:val="ListParagraph"/>
        <w:numPr>
          <w:ilvl w:val="0"/>
          <w:numId w:val="3"/>
        </w:numPr>
        <w:spacing w:after="60" w:line="268"/>
      </w:pPr>
      <w:r>
        <w:t xml:space="preserve">Where the conduct is also a criminal offence, the complaint can proceed criminally in parallel — the IC inquiry does not bar criminal law.</w:t>
      </w:r>
    </w:p>
    <w:p>
      <w:pPr>
        <w:spacing w:after="80"/>
      </w:pPr>
      <w:r>
        <w:t xml:space="preserve"/>
      </w:r>
    </w:p>
    <w:p>
      <w:pPr>
        <w:pStyle w:val="Heading2"/>
      </w:pPr>
      <w:r>
        <w:t xml:space="preserve">6.7 Appeals &amp;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Item</w:t>
            </w:r>
          </w:p>
        </w:tc>
        <w:tc>
          <w:tcPr>
            <w:tcW w:type="dxa" w:w="49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Default</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Complaint limitation</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3 months from incident (last incident if series); extendable +3 with reasons</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Notice to respondent</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Copy within 7 days; reply within 10 days</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Inquiry completion</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90 days (S.11(4))</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Inquiry report</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Within 10 days of completion to employer &amp; parties</w:t>
            </w:r>
          </w:p>
        </w:tc>
      </w:tr>
      <w:tr>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Employer action on recommendations</w:t>
            </w:r>
          </w:p>
        </w:tc>
        <w:tc>
          <w:tcPr>
            <w:tcW w:type="dxa" w:w="49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Within 60 days</w:t>
            </w:r>
          </w:p>
        </w:tc>
      </w:tr>
      <w:tr>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Appeal (S.18)</w:t>
            </w:r>
          </w:p>
        </w:tc>
        <w:tc>
          <w:tcPr>
            <w:tcW w:type="dxa" w:w="49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To court/tribunal per service rules, within 90 days of recommendation</w:t>
            </w:r>
          </w:p>
        </w:tc>
      </w:tr>
    </w:tbl>
    <w:p>
      <w:pPr>
        <w:spacing w:after="80"/>
      </w:pPr>
      <w:r>
        <w:t xml:space="preserve"/>
      </w:r>
    </w:p>
    <w:p>
      <w:pPr>
        <w:pStyle w:val="Heading2"/>
      </w:pPr>
      <w:r>
        <w:t xml:space="preserve">6.8 Practical scenario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Scenario — POSH complaint with escalation</w:t>
            </w:r>
          </w:p>
          <w:p>
            <w:pPr>
              <w:spacing w:after="0"/>
            </w:pPr>
            <w:r>
              <w:rPr>
                <w:color w:val="1F2937"/>
                <w:sz w:val="19"/>
                <w:szCs w:val="19"/>
              </w:rPr>
              <w:t xml:space="preserve">An employee files a POSH complaint (tier POSH; identities field-encrypted, visible only to the IC). The platform routes it to the company's IC, serves the respondent a copy within 7 days, and tracks the 10-day reply and 90-day inquiry clocks. The IC conducts confidential online hearings, observes natural justice, and within 90 days submits a report recommending disciplinary action and compensation; the report issues within 10 days and the employer must act within 60 days. The platform logs every access immutably. A related civil claim (e.g., contractual) is escalated via a consented escalation contract to an EDRS process, with POSH-sealed material excluded from the target case.</w:t>
            </w:r>
          </w:p>
        </w:tc>
      </w:tr>
    </w:tbl>
    <w:p>
      <w:r>
        <w:br w:type="page"/>
      </w:r>
    </w:p>
    <w:p>
      <w:pPr>
        <w:pStyle w:val="Heading1"/>
      </w:pPr>
      <w:r>
        <w:t xml:space="preserve">7. Process &amp; Procedure — Mapping to the Build (for the IT team)</w:t>
      </w:r>
    </w:p>
    <w:p>
      <w:pPr>
        <w:spacing w:after="140" w:line="276"/>
      </w:pPr>
      <w:r>
        <w:t xml:space="preserve">This section translates the four chapters into the concrete artefacts the engineering team implements. Each legal concept above has a home in data and logic; the table below is the bridge, and the field-level detail is in the companion .xlsx (tabs 4c and 4d).</w:t>
      </w:r>
    </w:p>
    <w:p>
      <w:pPr>
        <w:pStyle w:val="Heading2"/>
      </w:pPr>
      <w:r>
        <w:t xml:space="preserve">7.1 From legal concept to system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Legal concept</w:t>
            </w:r>
          </w:p>
        </w:tc>
        <w:tc>
          <w:tcPr>
            <w:tcW w:type="dxa" w:w="35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System artefact</w:t>
            </w:r>
          </w:p>
        </w:tc>
        <w:tc>
          <w:tcPr>
            <w:tcW w:type="dxa" w:w="28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Where specified</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Dispute pillar &amp; subtype</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cases.pillar + case_subtype (case_type_catalogue)</w:t>
            </w:r>
          </w:p>
        </w:tc>
        <w:tc>
          <w:tcPr>
            <w:tcW w:type="dxa" w:w="2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xlsx 4c · case_type_catalogue</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Resolution ladder / stages</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Case state machine (states + transitions per ruleset)</w:t>
            </w:r>
          </w:p>
        </w:tc>
        <w:tc>
          <w:tcPr>
            <w:tcW w:type="dxa" w:w="2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xlsx 4c · workflow_states / workflow_transitions</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Arbitrability</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arbitrability_matrix + cases.non_arbitrable</w:t>
            </w:r>
          </w:p>
        </w:tc>
        <w:tc>
          <w:tcPr>
            <w:tcW w:type="dxa" w:w="2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xlsx 4c · arbitrability_matrix</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Defences raised</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defence_catalogue + case_defences (per case)</w:t>
            </w:r>
          </w:p>
        </w:tc>
        <w:tc>
          <w:tcPr>
            <w:tcW w:type="dxa" w:w="2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xlsx 4c + 4d</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Remedies / relief</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remedy_catalogue + order/award relief fields</w:t>
            </w:r>
          </w:p>
        </w:tc>
        <w:tc>
          <w:tcPr>
            <w:tcW w:type="dxa" w:w="2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xlsx 4c</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Appeals &amp; challenge</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appeal_routes (route + forum + limitation)</w:t>
            </w:r>
          </w:p>
        </w:tc>
        <w:tc>
          <w:tcPr>
            <w:tcW w:type="dxa" w:w="2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xlsx 4c · appeal_routes</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Limitation / timelines</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limitation_rules → compliance_clock entries</w:t>
            </w:r>
          </w:p>
        </w:tc>
        <w:tc>
          <w:tcPr>
            <w:tcW w:type="dxa" w:w="2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xlsx 4c · limitation_rules</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Statutory steps (notice, report)</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Process forms (stage forms) + notices</w:t>
            </w:r>
          </w:p>
        </w:tc>
        <w:tc>
          <w:tcPr>
            <w:tcW w:type="dxa" w:w="2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xlsx 4d · process forms</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Escalation between stages/forums</w:t>
            </w:r>
          </w:p>
        </w:tc>
        <w:tc>
          <w:tcPr>
            <w:tcW w:type="dxa" w:w="3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escalation_contracts (Architecture §19.1)</w:t>
            </w:r>
          </w:p>
        </w:tc>
        <w:tc>
          <w:tcPr>
            <w:tcW w:type="dxa" w:w="2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Forms &amp; DB Spec 4b</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Confidential POSH handling</w:t>
            </w:r>
          </w:p>
        </w:tc>
        <w:tc>
          <w:tcPr>
            <w:tcW w:type="dxa" w:w="3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confidentiality_tier=POSH + field encryption</w:t>
            </w:r>
          </w:p>
        </w:tc>
        <w:tc>
          <w:tcPr>
            <w:tcW w:type="dxa" w:w="2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Architecture §9, §19</w:t>
            </w:r>
          </w:p>
        </w:tc>
      </w:tr>
    </w:tbl>
    <w:p>
      <w:pPr>
        <w:spacing w:after="80"/>
      </w:pPr>
      <w:r>
        <w:t xml:space="preserve"/>
      </w:r>
    </w:p>
    <w:p>
      <w:pPr>
        <w:pStyle w:val="Heading2"/>
      </w:pPr>
      <w:r>
        <w:t xml:space="preserve">7.2 How a case flows at runtime (worked sequence)</w:t>
      </w:r>
    </w:p>
    <w:p>
      <w:pPr>
        <w:pStyle w:val="ListParagraph"/>
        <w:numPr>
          <w:ilvl w:val="0"/>
          <w:numId w:val="2"/>
        </w:numPr>
        <w:spacing w:after="60" w:line="268"/>
      </w:pPr>
      <w:r>
        <w:t xml:space="preserve">Intake form (pillar-specific) creates the case; case_subtype sets the arbitrability and the offered mechanisms via arbitrability_matrix.</w:t>
      </w:r>
    </w:p>
    <w:p>
      <w:pPr>
        <w:pStyle w:val="ListParagraph"/>
        <w:numPr>
          <w:ilvl w:val="0"/>
          <w:numId w:val="2"/>
        </w:numPr>
        <w:spacing w:after="60" w:line="268"/>
      </w:pPr>
      <w:r>
        <w:t xml:space="preserve">On REGISTERED, the engine reads limitation_rules for that subtype/ruleset and writes the relevant compliance_clock rows (e.g., S.29A, 120-day mediation, 90-day POSH).</w:t>
      </w:r>
    </w:p>
    <w:p>
      <w:pPr>
        <w:pStyle w:val="ListParagraph"/>
        <w:numPr>
          <w:ilvl w:val="0"/>
          <w:numId w:val="2"/>
        </w:numPr>
        <w:spacing w:after="60" w:line="268"/>
      </w:pPr>
      <w:r>
        <w:t xml:space="preserve">workflow_transitions gate each move: the role allowed, documents required, fee gate, and the clock to start/stop.</w:t>
      </w:r>
    </w:p>
    <w:p>
      <w:pPr>
        <w:pStyle w:val="ListParagraph"/>
        <w:numPr>
          <w:ilvl w:val="0"/>
          <w:numId w:val="2"/>
        </w:numPr>
        <w:spacing w:after="60" w:line="268"/>
      </w:pPr>
      <w:r>
        <w:t xml:space="preserve">Defences entered against a case are validated against defence_catalogue (so reporting and analytics are structured, not free-text).</w:t>
      </w:r>
    </w:p>
    <w:p>
      <w:pPr>
        <w:pStyle w:val="ListParagraph"/>
        <w:numPr>
          <w:ilvl w:val="0"/>
          <w:numId w:val="2"/>
        </w:numPr>
        <w:spacing w:after="60" w:line="268"/>
      </w:pPr>
      <w:r>
        <w:t xml:space="preserve">At outcome, the order/award records reliefs chosen from remedy_catalogue; appeal_routes drives the post-outcome challenge window and the new clock.</w:t>
      </w:r>
    </w:p>
    <w:p>
      <w:pPr>
        <w:pStyle w:val="ListParagraph"/>
        <w:numPr>
          <w:ilvl w:val="0"/>
          <w:numId w:val="2"/>
        </w:numPr>
        <w:spacing w:after="60" w:line="268"/>
      </w:pPr>
      <w:r>
        <w:t xml:space="preserve">Any escalation creates an escalation_contract; the compliance dashboard surfaces every clock approaching breach (compliance_clock + alerts).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Why catalogues, not free text</w:t>
            </w:r>
          </w:p>
          <w:p>
            <w:pPr>
              <w:spacing w:after="0"/>
            </w:pPr>
            <w:r>
              <w:rPr>
                <w:color w:val="1F2937"/>
                <w:sz w:val="19"/>
                <w:szCs w:val="19"/>
              </w:rPr>
              <w:t xml:space="preserve">Encoding case types, defences, remedies, appeal routes and limitation as catalogues (reference tables) — rather than free text — is what makes the platform analysable, configurable per jurisdiction, and safe: the engine can refuse impossible combinations (e.g., arbitration on a non-arbitrable subtype) and can compute clocks automatically.</w:t>
            </w:r>
          </w:p>
        </w:tc>
      </w:tr>
    </w:tbl>
    <w:p>
      <w:r>
        <w:br w:type="page"/>
      </w:r>
    </w:p>
    <w:p>
      <w:pPr>
        <w:pStyle w:val="Heading1"/>
      </w:pPr>
      <w:r>
        <w:t xml:space="preserve">8. Master Timelines &amp; Limitation (consolidated)</w:t>
      </w:r>
    </w:p>
    <w:p>
      <w:pPr>
        <w:spacing w:after="140" w:line="276"/>
      </w:pPr>
      <w:r>
        <w:t xml:space="preserve">A single reference of the statutory clocks the platform must compute and monitor. Each becomes one or more compliance_clock entries with a risk band (OK / WATCH / AT_RISK / BREACHED). Treat all values as configurable defaults to confirm against current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60"/>
        <w:gridCol w:w="240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Pillar</w:t>
            </w:r>
          </w:p>
        </w:tc>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Clock</w:t>
            </w:r>
          </w:p>
        </w:tc>
        <w:tc>
          <w:tcPr>
            <w:tcW w:type="dxa" w:w="25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Default period</w:t>
            </w:r>
          </w:p>
        </w:tc>
        <w:tc>
          <w:tcPr>
            <w:tcW w:type="dxa" w:w="2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Consequence if missed</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Marital</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Mediation completion</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120 (+60) days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Mediation lapses; revert to litigation</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Marital</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Mutual-consent motion window</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6 months (max 18)</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Petition may lapse (court may waive cooling-off)</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Marital</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Appeal to High Court</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~90 days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Decree becomes final</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NBFC</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NPA classification</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90 days default</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SARFAESI becomes available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NBFC</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SARFAESI 13(2) cure</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60 days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Possession/sale steps proceed</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NBFC</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Grievance escalation to Ombudsman</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30 days unresolved</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Borrower may escalate to RBI</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NBFC/Commercial</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Arbitral award (S.29A)</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12 (+6) months from pleadings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Tribunal mandate terminates (court extension needed)</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NBFC/Commercial</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Challenge to award (S.34)</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3 months + 30 days (absolute)</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Award becomes enforceable; challenge barred</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Commercial</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Pre-institution mediation (S.12A)</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3 (+2) months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Plaint liable to rejection (non-urgent suits)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Commercial</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MSME council resolution</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~90 days</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Proceed per statute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POSH</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Complaint limitation</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3 (+3) months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Complaint may be time-barred</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POSH</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Notice / reply</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7 days / 10 days</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Procedural defect</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POSH</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Inquiry completion</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90 days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Statutory breach; risk to findings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POSH</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Report / employer action</w:t>
            </w:r>
          </w:p>
        </w:tc>
        <w:tc>
          <w:tcPr>
            <w:tcW w:type="dxa" w:w="25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10 days / 60 days</w:t>
            </w:r>
          </w:p>
        </w:tc>
        <w:tc>
          <w:tcPr>
            <w:tcW w:type="dxa" w:w="2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Non-compliance exposure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POSH</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Appeal (S.18)</w:t>
            </w:r>
          </w:p>
        </w:tc>
        <w:tc>
          <w:tcPr>
            <w:tcW w:type="dxa" w:w="25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90 days</w:t>
            </w:r>
          </w:p>
        </w:tc>
        <w:tc>
          <w:tcPr>
            <w:tcW w:type="dxa" w:w="2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Recommendation stands</w:t>
            </w:r>
          </w:p>
        </w:tc>
      </w:tr>
    </w:tbl>
    <w:p>
      <w:r>
        <w:br w:type="page"/>
      </w:r>
    </w:p>
    <w:p>
      <w:pPr>
        <w:pStyle w:val="Heading1"/>
      </w:pPr>
      <w:r>
        <w:t xml:space="preserve">9. Appendix — Sources, Glossary &amp; Change Log</w:t>
      </w:r>
    </w:p>
    <w:p>
      <w:pPr>
        <w:pStyle w:val="Heading2"/>
      </w:pPr>
      <w:r>
        <w:t xml:space="preserve">9.1 Key statutory &amp; reference sources</w:t>
      </w:r>
    </w:p>
    <w:p>
      <w:pPr>
        <w:pStyle w:val="ListParagraph"/>
        <w:numPr>
          <w:ilvl w:val="0"/>
          <w:numId w:val="3"/>
        </w:numPr>
        <w:spacing w:after="60" w:line="268"/>
      </w:pPr>
      <w:hyperlink w:history="1" r:id="rId54fno9g4xsb9mxg25ao3v">
        <w:r>
          <w:rPr>
            <w:rStyle w:val="Hyperlink"/>
            <w:sz w:val="18"/>
            <w:szCs w:val="18"/>
          </w:rPr>
          <w:t xml:space="preserve">The Arbitration and Conciliation Act, 1996 (India Code)</w:t>
        </w:r>
      </w:hyperlink>
    </w:p>
    <w:p>
      <w:pPr>
        <w:pStyle w:val="ListParagraph"/>
        <w:numPr>
          <w:ilvl w:val="0"/>
          <w:numId w:val="3"/>
        </w:numPr>
        <w:spacing w:after="60" w:line="268"/>
      </w:pPr>
      <w:hyperlink w:history="1" r:id="rId9mntn2xyfxgtd98nubqeu">
        <w:r>
          <w:rPr>
            <w:rStyle w:val="Hyperlink"/>
            <w:sz w:val="18"/>
            <w:szCs w:val="18"/>
          </w:rPr>
          <w:t xml:space="preserve">The Mediation Act, 2023 (full text)</w:t>
        </w:r>
      </w:hyperlink>
    </w:p>
    <w:p>
      <w:pPr>
        <w:pStyle w:val="ListParagraph"/>
        <w:numPr>
          <w:ilvl w:val="0"/>
          <w:numId w:val="3"/>
        </w:numPr>
        <w:spacing w:after="60" w:line="268"/>
      </w:pPr>
      <w:hyperlink w:history="1" r:id="rIdcxdolljditbgwjkr4jzc9">
        <w:r>
          <w:rPr>
            <w:rStyle w:val="Hyperlink"/>
            <w:sz w:val="18"/>
            <w:szCs w:val="18"/>
          </w:rPr>
          <w:t xml:space="preserve">The Hindu Marriage Act, 1955</w:t>
        </w:r>
      </w:hyperlink>
    </w:p>
    <w:p>
      <w:pPr>
        <w:pStyle w:val="ListParagraph"/>
        <w:numPr>
          <w:ilvl w:val="0"/>
          <w:numId w:val="3"/>
        </w:numPr>
        <w:spacing w:after="60" w:line="268"/>
      </w:pPr>
      <w:hyperlink w:history="1" r:id="rIdakzd-6ahwcas5fjijjdbr">
        <w:r>
          <w:rPr>
            <w:rStyle w:val="Hyperlink"/>
            <w:sz w:val="18"/>
            <w:szCs w:val="18"/>
          </w:rPr>
          <w:t xml:space="preserve">Section 12A, Commercial Courts Act, 2015 (pre-institution mediation)</w:t>
        </w:r>
      </w:hyperlink>
    </w:p>
    <w:p>
      <w:pPr>
        <w:pStyle w:val="ListParagraph"/>
        <w:numPr>
          <w:ilvl w:val="0"/>
          <w:numId w:val="3"/>
        </w:numPr>
        <w:spacing w:after="60" w:line="268"/>
      </w:pPr>
      <w:hyperlink w:history="1" r:id="rIdq2inhdntlgfpfdv3ssmz6">
        <w:r>
          <w:rPr>
            <w:rStyle w:val="Hyperlink"/>
            <w:sz w:val="18"/>
            <w:szCs w:val="18"/>
          </w:rPr>
          <w:t xml:space="preserve">POSH Act, 2013 — inquiry timelines &amp; procedure (overview)</w:t>
        </w:r>
      </w:hyperlink>
    </w:p>
    <w:p>
      <w:pPr>
        <w:pStyle w:val="ListParagraph"/>
        <w:numPr>
          <w:ilvl w:val="0"/>
          <w:numId w:val="3"/>
        </w:numPr>
        <w:spacing w:after="60" w:line="268"/>
      </w:pPr>
      <w:hyperlink w:history="1" r:id="rIdgxqgiciue0ayxlghsgha3">
        <w:r>
          <w:rPr>
            <w:rStyle w:val="Hyperlink"/>
            <w:sz w:val="18"/>
            <w:szCs w:val="18"/>
          </w:rPr>
          <w:t xml:space="preserve">SARFAESI Act, 2002 — borrower rights overview</w:t>
        </w:r>
      </w:hyperlink>
    </w:p>
    <w:p>
      <w:pPr>
        <w:pStyle w:val="ListParagraph"/>
        <w:numPr>
          <w:ilvl w:val="0"/>
          <w:numId w:val="3"/>
        </w:numPr>
        <w:spacing w:after="60" w:line="268"/>
      </w:pPr>
      <w:hyperlink w:history="1" r:id="rIdfaluiiouhxytsltdtnfc7">
        <w:r>
          <w:rPr>
            <w:rStyle w:val="Hyperlink"/>
            <w:sz w:val="18"/>
            <w:szCs w:val="18"/>
          </w:rPr>
          <w:t xml:space="preserve">RBI Integrated Ombudsman Scheme, 2021 &amp; Digital Lending Directions, 2025 (overview)</w:t>
        </w:r>
      </w:hyperlink>
    </w:p>
    <w:p>
      <w:pPr>
        <w:pStyle w:val="ListParagraph"/>
        <w:numPr>
          <w:ilvl w:val="0"/>
          <w:numId w:val="3"/>
        </w:numPr>
        <w:spacing w:after="60" w:line="268"/>
      </w:pPr>
      <w:hyperlink w:history="1" r:id="rIdgyu6d4ctflgwxwtzderke">
        <w:r>
          <w:rPr>
            <w:rStyle w:val="Hyperlink"/>
            <w:sz w:val="18"/>
            <w:szCs w:val="18"/>
          </w:rPr>
          <w:t xml:space="preserve">Section 34 limitation — absolute nature (analysis)</w:t>
        </w:r>
      </w:hyperlink>
    </w:p>
    <w:p>
      <w:pPr>
        <w:pStyle w:val="ListParagraph"/>
        <w:numPr>
          <w:ilvl w:val="0"/>
          <w:numId w:val="3"/>
        </w:numPr>
        <w:spacing w:after="60" w:line="268"/>
      </w:pPr>
      <w:hyperlink w:history="1" r:id="rIdgpntd_vl0t3sh9lxf9hjd">
        <w:r>
          <w:rPr>
            <w:rStyle w:val="Hyperlink"/>
            <w:sz w:val="18"/>
            <w:szCs w:val="18"/>
          </w:rPr>
          <w:t xml:space="preserve">Lok Adalat award finality (Supreme Court, 2025)</w:t>
        </w:r>
      </w:hyperlink>
    </w:p>
    <w:p>
      <w:pPr>
        <w:spacing w:after="80"/>
      </w:pPr>
      <w:r>
        <w:t xml:space="preserve"/>
      </w:r>
    </w:p>
    <w:p>
      <w:pPr>
        <w:pStyle w:val="Heading2"/>
      </w:pPr>
      <w:r>
        <w:t xml:space="preserve">9.2 Glossary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Term</w:t>
            </w:r>
          </w:p>
        </w:tc>
        <w:tc>
          <w:tcPr>
            <w:tcW w:type="dxa" w:w="72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Meaning</w:t>
            </w:r>
          </w:p>
        </w:tc>
      </w:tr>
      <w:tr>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MSA</w:t>
            </w:r>
          </w:p>
        </w:tc>
        <w:tc>
          <w:tcPr>
            <w:tcW w:type="dxa" w:w="7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Mediated Settlement Agreement — enforceable as a decree (Mediation Act 2023).</w:t>
            </w:r>
          </w:p>
        </w:tc>
      </w:tr>
      <w:tr>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NPA</w:t>
            </w:r>
          </w:p>
        </w:tc>
        <w:tc>
          <w:tcPr>
            <w:tcW w:type="dxa" w:w="7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Non-Performing Asset — loan in default ~90 days; unlocks SARFAESI.</w:t>
            </w:r>
          </w:p>
        </w:tc>
      </w:tr>
      <w:tr>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SARFAESI</w:t>
            </w:r>
          </w:p>
        </w:tc>
        <w:tc>
          <w:tcPr>
            <w:tcW w:type="dxa" w:w="7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Secured-creditor enforcement statute (2002).</w:t>
            </w:r>
          </w:p>
        </w:tc>
      </w:tr>
      <w:tr>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DRT / DRAT</w:t>
            </w:r>
          </w:p>
        </w:tc>
        <w:tc>
          <w:tcPr>
            <w:tcW w:type="dxa" w:w="7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Debt Recovery Tribunal / Appellate Tribunal.</w:t>
            </w:r>
          </w:p>
        </w:tc>
      </w:tr>
      <w:tr>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S.29A</w:t>
            </w:r>
          </w:p>
        </w:tc>
        <w:tc>
          <w:tcPr>
            <w:tcW w:type="dxa" w:w="7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A&amp;C Act time-limit for the arbitral award.</w:t>
            </w:r>
          </w:p>
        </w:tc>
      </w:tr>
      <w:tr>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S.34 / S.37</w:t>
            </w:r>
          </w:p>
        </w:tc>
        <w:tc>
          <w:tcPr>
            <w:tcW w:type="dxa" w:w="7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Set-aside of award / appeal against specified orders.</w:t>
            </w:r>
          </w:p>
        </w:tc>
      </w:tr>
      <w:tr>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S.12A</w:t>
            </w:r>
          </w:p>
        </w:tc>
        <w:tc>
          <w:tcPr>
            <w:tcW w:type="dxa" w:w="7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Commercial Courts Act mandatory pre-institution mediation.</w:t>
            </w:r>
          </w:p>
        </w:tc>
      </w:tr>
      <w:tr>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IC / LC</w:t>
            </w:r>
          </w:p>
        </w:tc>
        <w:tc>
          <w:tcPr>
            <w:tcW w:type="dxa" w:w="7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Internal / Local Committee under the POSH Act.</w:t>
            </w:r>
          </w:p>
        </w:tc>
      </w:tr>
      <w:tr>
        <w:tc>
          <w:tcPr>
            <w:tcW w:type="dxa" w:w="2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OTS</w:t>
            </w:r>
          </w:p>
        </w:tc>
        <w:tc>
          <w:tcPr>
            <w:tcW w:type="dxa" w:w="7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One-Time-Settlement of a loan.</w:t>
            </w:r>
          </w:p>
        </w:tc>
      </w:tr>
      <w:tr>
        <w:tc>
          <w:tcPr>
            <w:tcW w:type="dxa" w:w="2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Pendente lite</w:t>
            </w:r>
          </w:p>
        </w:tc>
        <w:tc>
          <w:tcPr>
            <w:tcW w:type="dxa" w:w="72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Relief (e.g., maintenance) during the pendency of proceedings.</w:t>
            </w:r>
          </w:p>
        </w:tc>
      </w:tr>
    </w:tbl>
    <w:p>
      <w:pPr>
        <w:spacing w:after="80"/>
      </w:pPr>
      <w:r>
        <w:t xml:space="preserve"/>
      </w:r>
    </w:p>
    <w:p>
      <w:pPr>
        <w:pStyle w:val="Heading2"/>
      </w:pPr>
      <w:r>
        <w:t xml:space="preserve">9.3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rPr>
          <w:tblHeader/>
        </w:trPr>
        <w:tc>
          <w:tcPr>
            <w:tcW w:type="dxa" w:w="1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Version</w:t>
            </w:r>
          </w:p>
        </w:tc>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Date</w:t>
            </w:r>
          </w:p>
        </w:tc>
        <w:tc>
          <w:tcPr>
            <w:tcW w:type="dxa" w:w="62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Change</w:t>
            </w:r>
          </w:p>
        </w:tc>
      </w:tr>
      <w:tr>
        <w:tc>
          <w:tcPr>
            <w:tcW w:type="dxa" w:w="1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v1.0</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June 2026</w:t>
            </w:r>
          </w:p>
        </w:tc>
        <w:tc>
          <w:tcPr>
            <w:tcW w:type="dxa" w:w="62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Initial Process &amp; Procedure Playbook — Marital, NBFC, Commercial, POSH; framework, IT mapping, master timelines.</w:t>
            </w:r>
          </w:p>
        </w:tc>
      </w:tr>
    </w:tbl>
    <w:p>
      <w:pPr>
        <w:spacing w:after="80"/>
      </w:pPr>
      <w:r>
        <w:t xml:space="preserve"/>
      </w:r>
    </w:p>
    <w:p>
      <w:pPr>
        <w:spacing w:after="140" w:line="276"/>
      </w:pPr>
      <w:r>
        <w:rPr>
          <w:i/>
          <w:iCs/>
          <w:color w:val="6B7280"/>
        </w:rPr>
        <w:t xml:space="preserve">End of Playbook v1.0. This is a working legal-operational reference; statutory provisions and limitation periods must be kept current in the platform rulesets by qualified counsel. Numbers herein are configurable defaults, not advice for a specific matter.</w:t>
      </w:r>
    </w:p>
    <w:sectPr>
      <w:headerReference w:type="default" r:id="rId7"/>
      <w:footerReference w:type="default" r:id="rId8"/>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4"/>
      </w:pBdr>
      <w:spacing w:before="60"/>
      <w:jc w:val="center"/>
    </w:pPr>
    <w:r>
      <w:rPr>
        <w:color w:val="6B7280"/>
        <w:sz w:val="13"/>
        <w:szCs w:val="13"/>
      </w:rPr>
      <w:t xml:space="preserve">Confidential — working legal-operational reference (not advice for a specific matter)      Page </w:t>
    </w:r>
    <w:r>
      <w:rPr>
        <w:color w:val="6B7280"/>
        <w:sz w:val="14"/>
        <w:szCs w:val="14"/>
      </w:rPr>
      <w:fldChar w:fldCharType="begin"/>
      <w:instrText xml:space="preserve">PAGE</w:instrText>
      <w:fldChar w:fldCharType="separate"/>
      <w:fldChar w:fldCharType="end"/>
    </w:r>
    <w:r>
      <w:rPr>
        <w:color w:val="6B7280"/>
        <w:sz w:val="13"/>
        <w:szCs w:val="13"/>
      </w:rPr>
      <w:t xml:space="preserve"> of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4" w:space="4"/>
      </w:pBdr>
      <w:spacing w:after="80"/>
      <w:jc w:val="right"/>
    </w:pPr>
    <w:r>
      <w:rPr>
        <w:b/>
        <w:bCs/>
        <w:color w:val="0B2A4A"/>
        <w:sz w:val="15"/>
        <w:szCs w:val="15"/>
      </w:rPr>
      <w:t xml:space="preserve">EQUATOR RESOLUTION</w:t>
    </w:r>
    <w:r>
      <w:rPr>
        <w:color w:val="6B7280"/>
        <w:sz w:val="15"/>
        <w:szCs w:val="15"/>
      </w:rPr>
      <w:t xml:space="preserve">   |   Process &amp; Procedure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60" w:before="280"/>
      <w:outlineLvl w:val="0"/>
    </w:pPr>
    <w:rPr>
      <w:rFonts w:ascii="Calibri" w:cs="Calibri" w:eastAsia="Calibri" w:hAnsi="Calibri"/>
      <w:b/>
      <w:bCs/>
      <w:color w:val="0B2A4A"/>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2477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E7C7B"/>
      <w:sz w:val="22"/>
      <w:szCs w:val="22"/>
    </w:rPr>
  </w:style>
  <w:style w:type="paragraph" w:styleId="Hyperlink">
    <w:name w:val="Hyperlink"/>
    <w:basedOn w:val="Normal"/>
    <w:rPr>
      <w:color w:val="1F6FB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4fno9g4xsb9mxg25ao3v" Type="http://schemas.openxmlformats.org/officeDocument/2006/relationships/hyperlink" Target="https://www.indiacode.nic.in/handle/123456789/1978" TargetMode="External"/><Relationship Id="rId9mntn2xyfxgtd98nubqeu" Type="http://schemas.openxmlformats.org/officeDocument/2006/relationships/hyperlink" Target="https://legalaffairs.gov.in/sites/default/files/MediationAct2023.pdf" TargetMode="External"/><Relationship Id="rIdcxdolljditbgwjkr4jzc9" Type="http://schemas.openxmlformats.org/officeDocument/2006/relationships/hyperlink" Target="https://www.indiacode.nic.in/handle/123456789/1560" TargetMode="External"/><Relationship Id="rIdakzd-6ahwcas5fjijjdbr" Type="http://schemas.openxmlformats.org/officeDocument/2006/relationships/hyperlink" Target="https://www.indiacode.nic.in/show-data?actid=AC_CEN_3_46_00008_201604_1517807328347&amp;orderno=14" TargetMode="External"/><Relationship Id="rIdq2inhdntlgfpfdv3ssmz6" Type="http://schemas.openxmlformats.org/officeDocument/2006/relationships/hyperlink" Target="https://www.btgadvaya.com/post/statutory-timelines-under-the-posh-act-for-investigation" TargetMode="External"/><Relationship Id="rIdgxqgiciue0ayxlghsgha3" Type="http://schemas.openxmlformats.org/officeDocument/2006/relationships/hyperlink" Target="https://www.airtel.in/blog/personal-loan/sarfaesi-act-explained-borrowers-know/" TargetMode="External"/><Relationship Id="rIdfaluiiouhxytsltdtnfc7" Type="http://schemas.openxmlformats.org/officeDocument/2006/relationships/hyperlink" Target="https://www.obhanandassociates.com/blog/rewriting-the-rules-of-digital-lending-rbi-digital-lending-directions-2025/" TargetMode="External"/><Relationship Id="rIdgyu6d4ctflgwxwtzderke" Type="http://schemas.openxmlformats.org/officeDocument/2006/relationships/hyperlink" Target="https://www.mondaq.com/advicecentre/content/3964/Limitation-Of-Time-Under-Section-34-Of-The-Arbitration-And-Conciliation-Act-1996" TargetMode="External"/><Relationship Id="rIdgpntd_vl0t3sh9lxf9hjd" Type="http://schemas.openxmlformats.org/officeDocument/2006/relationships/hyperlink" Target="https://www.scconline.com/blog/post/2025/12/12/sc-no-civil-remedy-against-lok-adalat-award/"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Equator Resolution — Dispute Resolution Process &amp; Procedure Playbook</dc:title>
  <dc:creator>Equator Resolution</dc:creator>
  <dc:description>Practitioner-grade process, procedure, defences, remedies, appeals and timelines across dispute types.</dc:description>
  <cp:lastModifiedBy>Un-named</cp:lastModifiedBy>
  <cp:revision>1</cp:revision>
  <dcterms:created xsi:type="dcterms:W3CDTF">2026-06-26T07:53:18.612Z</dcterms:created>
  <dcterms:modified xsi:type="dcterms:W3CDTF">2026-06-26T07:53:18.612Z</dcterms:modified>
</cp:coreProperties>
</file>

<file path=docProps/custom.xml><?xml version="1.0" encoding="utf-8"?>
<Properties xmlns="http://schemas.openxmlformats.org/officeDocument/2006/custom-properties" xmlns:vt="http://schemas.openxmlformats.org/officeDocument/2006/docPropsVTypes"/>
</file>