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300"/>
      </w:pPr>
    </w:p>
    <w:p>
      <w:pPr>
        <w:spacing w:after="30"/>
        <w:jc w:val="center"/>
      </w:pPr>
      <w:r>
        <w:rPr>
          <w:b/>
          <w:bCs/>
          <w:color w:val="0B2A4A"/>
          <w:sz w:val="48"/>
          <w:szCs w:val="48"/>
        </w:rPr>
        <w:t xml:space="preserve">EQUATOR RESOLUTION</w:t>
      </w:r>
    </w:p>
    <w:p>
      <w:pPr>
        <w:pBdr>
          <w:bottom w:val="single" w:color="0E7C7B" w:sz="12" w:space="6"/>
        </w:pBdr>
        <w:spacing w:after="220"/>
        <w:jc w:val="center"/>
      </w:pPr>
      <w:r>
        <w:rPr>
          <w:sz w:val="2"/>
          <w:szCs w:val="2"/>
        </w:rPr>
        <w:t xml:space="preserve"/>
      </w:r>
    </w:p>
    <w:p>
      <w:pPr>
        <w:spacing w:after="22"/>
        <w:jc w:val="center"/>
      </w:pPr>
      <w:r>
        <w:rPr>
          <w:b/>
          <w:bCs/>
          <w:color w:val="1F2937"/>
          <w:sz w:val="38"/>
          <w:szCs w:val="38"/>
        </w:rPr>
        <w:t xml:space="preserve">Family &amp; Matrimonial Disputes — Deep-Dive Playbook</w:t>
      </w:r>
    </w:p>
    <w:p>
      <w:pPr>
        <w:spacing w:after="20"/>
        <w:jc w:val="center"/>
      </w:pPr>
      <w:r>
        <w:rPr>
          <w:color w:val="6B7280"/>
          <w:sz w:val="22"/>
          <w:szCs w:val="22"/>
        </w:rPr>
        <w:t xml:space="preserve">Avenues · forums · both-side remedies &amp; strategy · social scenarios · mediation · procedure · case law</w:t>
      </w:r>
    </w:p>
    <w:p>
      <w:pPr>
        <w:spacing w:after="480"/>
        <w:jc w:val="center"/>
      </w:pPr>
      <w:r>
        <w:rPr>
          <w:color w:val="1F6FB2"/>
          <w:sz w:val="19"/>
          <w:szCs w:val="19"/>
        </w:rPr>
        <w:t xml:space="preserve">India-focused, practitioner-grade — for the Legal team and the IT/build team</w:t>
      </w:r>
    </w:p>
    <w:p>
      <w:pPr>
        <w:spacing w:after="18"/>
        <w:jc w:val="center"/>
      </w:pPr>
      <w:r>
        <w:rPr>
          <w:color w:val="6B7280"/>
          <w:sz w:val="18"/>
          <w:szCs w:val="18"/>
        </w:rPr>
        <w:t xml:space="preserve">Document DOC-07  ·  Version 1.0  ·  June 2026  ·  CONFIDENTIAL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1"/>
              <w:left w:val="single" w:color="B45309" w:sz="24"/>
              <w:bottom w:val="single" w:color="FFF7ED" w:sz="1"/>
              <w:right w:val="single" w:color="FFF7ED" w:sz="1"/>
            </w:tcBorders>
            <w:shd w:fill="FFF7ED" w:val="clear"/>
            <w:tcMar>
              <w:top w:type="dxa" w:w="120"/>
              <w:left w:type="dxa" w:w="160"/>
              <w:bottom w:type="dxa" w:w="120"/>
              <w:right w:type="dxa" w:w="160"/>
            </w:tcMar>
          </w:tcPr>
          <w:p>
            <w:pPr>
              <w:spacing w:after="60"/>
            </w:pPr>
            <w:r>
              <w:rPr>
                <w:b/>
                <w:bCs/>
                <w:color w:val="0B2A4A"/>
                <w:sz w:val="20"/>
                <w:szCs w:val="20"/>
              </w:rPr>
              <w:t xml:space="preserve">Important — read first</w:t>
            </w:r>
          </w:p>
          <w:p>
            <w:pPr>
              <w:spacing w:after="0"/>
            </w:pPr>
            <w:r>
              <w:rPr>
                <w:color w:val="1F2937"/>
                <w:sz w:val="19"/>
                <w:szCs w:val="19"/>
              </w:rPr>
              <w:t xml:space="preserve">This Playbook explains Indian family-dispute law and practice to a practitioner level so the legal team can run matters and the IT team can encode the correct flows, forums, remedies and timelines. It is balanced — it sets out the position and options for BOTH spouses — and is a working reference, not legal advice for any specific case or a partisan strategy memo. Family law is fact-sensitive and evolving; statutory provisions, Supreme Court guidance (e.g., Rajnesh v Neha on maintenance) and High Court practice must be kept current in the platform rulesets by qualified counsel. Numbers (days, ages, thresholds) are configurable defaults to confirm against current law.</w:t>
            </w:r>
          </w:p>
        </w:tc>
      </w:tr>
    </w:tbl>
    <w:p>
      <w:pPr>
        <w:spacing w:after="160"/>
      </w:pPr>
      <w: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8"/>
                <w:szCs w:val="18"/>
              </w:rPr>
              <w:t xml:space="preserve">Field</w:t>
            </w:r>
          </w:p>
        </w:tc>
        <w:tc>
          <w:tcPr>
            <w:tcW w:type="dxa" w:w="6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8"/>
                <w:szCs w:val="18"/>
              </w:rPr>
              <w:t xml:space="preserve">Detail</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Document title</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Family &amp; Matrimonial Disputes — Deep-Dive Playbook</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Document code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DOC-07</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Version</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1.0</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Date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June 2026</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Status</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Issued for review</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Owner (author)</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Founder / Architecture</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Reviewer</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Engineering &amp; Legal Leadership</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Approver</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Founder</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Classification</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Confidential — Internal</w:t>
            </w:r>
          </w:p>
        </w:tc>
      </w:tr>
      <w:tr>
        <w:tc>
          <w:tcPr>
            <w:tcW w:type="dxa" w:w="2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bCs/>
                <w:color w:val="1F2937"/>
                <w:sz w:val="17"/>
                <w:szCs w:val="17"/>
              </w:rPr>
              <w:t xml:space="preserve">Intended audience</w:t>
            </w:r>
          </w:p>
        </w:tc>
        <w:tc>
          <w:tcPr>
            <w:tcW w:type="dxa" w:w="6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7"/>
                <w:szCs w:val="17"/>
              </w:rPr>
              <w:t xml:space="preserve">Legal team, family mediators, case managers, IT/build team</w:t>
            </w:r>
          </w:p>
        </w:tc>
      </w:tr>
      <w:tr>
        <w:tc>
          <w:tcPr>
            <w:tcW w:type="dxa" w:w="2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bCs/>
                <w:color w:val="1F2937"/>
                <w:sz w:val="17"/>
                <w:szCs w:val="17"/>
              </w:rPr>
              <w:t xml:space="preserve">Related documents</w:t>
            </w:r>
          </w:p>
        </w:tc>
        <w:tc>
          <w:tcPr>
            <w:tcW w:type="dxa" w:w="6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7"/>
                <w:szCs w:val="17"/>
              </w:rPr>
              <w:t xml:space="preserve">See Master Index &amp; Reading Guide (DOC-00)</w:t>
            </w:r>
          </w:p>
        </w:tc>
      </w:tr>
    </w:tbl>
    <w:p>
      <w:pPr>
        <w:spacing w:after="120"/>
      </w:pPr>
      <w:r>
        <w:t xml:space="preserve"/>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Scope, Philosophy &amp; How to Use</w:t>
      </w:r>
    </w:p>
    <w:p>
      <w:pPr>
        <w:spacing w:after="140" w:line="276"/>
      </w:pPr>
      <w:r>
        <w:t xml:space="preserve">Family disputes are unlike commercial disputes in three ways the whole platform must respect: they are relational (the parties usually have a continuing connection, often children), they are sensitive (privacy and dignity matter intensely), and they are partly non-arbitrable (the State retains jurisdiction over marital status and child welfare). Equator's centre of gravity here is therefore mediation — confidential, interest-based, child-sensitive — with arbitration available only for the financial slivers the law permits, and the court reserved for the status decree and welfare orders.</w:t>
      </w:r>
    </w:p>
    <w:p>
      <w:pPr>
        <w:pStyle w:val="Heading3"/>
      </w:pPr>
      <w:r>
        <w:t xml:space="preserve">1.1 The balanced-practice principle</w:t>
      </w:r>
    </w:p>
    <w:p>
      <w:pPr>
        <w:spacing w:after="140" w:line="276"/>
      </w:pPr>
      <w:r>
        <w:t xml:space="preserve">This document deliberately presents each issue from both the wife's and the husband's perspective. A neutral institution must understand every party's lawful avenues and likely strategy to manage the matter fairly, spot leverage and bad-faith tactics, and steer toward a durable settlement. Presenting both sides is not advocacy for either; it is what competent neutrality requires.</w:t>
      </w:r>
    </w:p>
    <w:p>
      <w:pPr>
        <w:pStyle w:val="Heading3"/>
      </w:pPr>
      <w:r>
        <w:t xml:space="preserve">1.2 How the two teams use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80"/>
        <w:gridCol w:w="3280"/>
      </w:tblGrid>
      <w:tr>
        <w:trPr>
          <w:tblHeader/>
        </w:trPr>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Section</w:t>
            </w:r>
          </w:p>
        </w:tc>
        <w:tc>
          <w:tcPr>
            <w:tcW w:type="dxa" w:w="33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Legal team uses it to…</w:t>
            </w:r>
          </w:p>
        </w:tc>
        <w:tc>
          <w:tcPr>
            <w:tcW w:type="dxa" w:w="32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IT team uses it to…</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Forums &amp; avenues map</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Choose the right forum / advise on options</w:t>
            </w:r>
          </w:p>
        </w:tc>
        <w:tc>
          <w:tcPr>
            <w:tcW w:type="dxa" w:w="32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Model forum_catalogue &amp; routing</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Dispute-type chapters</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Run the issue correctly</w:t>
            </w:r>
          </w:p>
        </w:tc>
        <w:tc>
          <w:tcPr>
            <w:tcW w:type="dxa" w:w="32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Enumerate case_subtype + fields</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Both-side remedies &amp; strategy</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Anticipate and balance positions</w:t>
            </w:r>
          </w:p>
        </w:tc>
        <w:tc>
          <w:tcPr>
            <w:tcW w:type="dxa" w:w="32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Structure remedy &amp; position catalogues</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Social-scenario library</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Recognise the real pattern quickly</w:t>
            </w:r>
          </w:p>
        </w:tc>
        <w:tc>
          <w:tcPr>
            <w:tcW w:type="dxa" w:w="32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Seed intake triage &amp; test cases</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playbook</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Conduct the sessions</w:t>
            </w:r>
          </w:p>
        </w:tc>
        <w:tc>
          <w:tcPr>
            <w:tcW w:type="dxa" w:w="32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Build the mediation workspace flow</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Procedure &amp; timelines</w:t>
            </w:r>
          </w:p>
        </w:tc>
        <w:tc>
          <w:tcPr>
            <w:tcW w:type="dxa" w:w="33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Keep the matter on track</w:t>
            </w:r>
          </w:p>
        </w:tc>
        <w:tc>
          <w:tcPr>
            <w:tcW w:type="dxa" w:w="32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Generate compliance_clock entries</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Case law</w:t>
            </w:r>
          </w:p>
        </w:tc>
        <w:tc>
          <w:tcPr>
            <w:tcW w:type="dxa" w:w="33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Apply current authority</w:t>
            </w:r>
          </w:p>
        </w:tc>
        <w:tc>
          <w:tcPr>
            <w:tcW w:type="dxa" w:w="32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Tag rules to authority for updates</w:t>
            </w:r>
          </w:p>
        </w:tc>
      </w:tr>
    </w:tbl>
    <w:p>
      <w:pPr>
        <w:pStyle w:val="Heading1"/>
      </w:pPr>
      <w:r>
        <w:t xml:space="preserve">2. The Forums &amp; Avenues Map</w:t>
      </w:r>
    </w:p>
    <w:p>
      <w:pPr>
        <w:spacing w:after="140" w:line="276"/>
      </w:pPr>
      <w:r>
        <w:t xml:space="preserve">A family dispute in India can travel through several forums at once. A defining practical feature is overlapping jurisdiction — the same maintenance claim can be pursued under different statutes in different forums — which the Supreme Court flagged in Rajnesh v Neha and tried to discipline. The platform must record which forum each strand is in and avoid duplicative or conflicting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1900"/>
        <w:gridCol w:w="1860"/>
      </w:tblGrid>
      <w:tr>
        <w:trPr>
          <w:tblHeader/>
        </w:trPr>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Forum / avenue</w:t>
            </w:r>
          </w:p>
        </w:tc>
        <w:tc>
          <w:tcPr>
            <w:tcW w:type="dxa" w:w="2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What it decides</w:t>
            </w:r>
          </w:p>
        </w:tc>
        <w:tc>
          <w:tcPr>
            <w:tcW w:type="dxa" w:w="19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Invoked by</w:t>
            </w:r>
          </w:p>
        </w:tc>
        <w:tc>
          <w:tcPr>
            <w:tcW w:type="dxa" w:w="18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Nature</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Family Court (Family Courts Act 1984)</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Divorce, judicial separation, RCR, maintenance, custody, guardianship</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Either spouse</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Civil; S.9 duty to attempt settlement</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Mediation (Mediation Act 2023 / court-annexed)</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Any matrimonial issue — by agreement</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Either / on reference</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Confidential; MSA enforceable as decree</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Arbitration (A&amp;C Act 1996)</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Financial consequences only (by consent)</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Either, if agreed</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Private; non-arbitrable on status/custody</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Magistrate — S.125 CrPC / S.144 BNSS</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Summary maintenance</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Wife/children/parents</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Quasi-criminal; quick relief</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Magistrate — DV Act 2005</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Protection, residence, monetary, custody, compensation</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Aggrieved woman</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Civil reliefs via criminal court</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Police / Criminal Court — S.498A IPC / S.85 BNS</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Cruelty / dowry harassment (criminal)</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Wife (complaint)</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Criminal; non-compoundable in many States</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Lok Adalat</w:t>
            </w:r>
          </w:p>
        </w:tc>
        <w:tc>
          <w:tcPr>
            <w:tcW w:type="dxa" w:w="2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Settlement of compoundable / civil strands</w:t>
            </w:r>
          </w:p>
        </w:tc>
        <w:tc>
          <w:tcPr>
            <w:tcW w:type="dxa" w:w="19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Either (consensual)</w:t>
            </w:r>
          </w:p>
        </w:tc>
        <w:tc>
          <w:tcPr>
            <w:tcW w:type="dxa" w:w="18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Award final, deemed a decree</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High Court / Supreme Court</w:t>
            </w:r>
          </w:p>
        </w:tc>
        <w:tc>
          <w:tcPr>
            <w:tcW w:type="dxa" w:w="2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Appeals, transfers, quashing</w:t>
            </w:r>
          </w:p>
        </w:tc>
        <w:tc>
          <w:tcPr>
            <w:tcW w:type="dxa" w:w="19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Either</w:t>
            </w:r>
          </w:p>
        </w:tc>
        <w:tc>
          <w:tcPr>
            <w:tcW w:type="dxa" w:w="18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Appellate / supervisory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Build implication — forum_catalogue &amp; strand tracking</w:t>
            </w:r>
          </w:p>
          <w:p>
            <w:pPr>
              <w:spacing w:after="0"/>
            </w:pPr>
            <w:r>
              <w:rPr>
                <w:color w:val="1F2937"/>
                <w:sz w:val="19"/>
                <w:szCs w:val="19"/>
              </w:rPr>
              <w:t xml:space="preserve">Model each forum as a record (forum_catalogue) and let a single matter carry multiple ‘strands’, each on its own forum and clock. The platform's job is coordination: surface where each strand sits, flag overlaps (e.g., maintenance claimed under both DV Act and S.125), and feed a consolidated view — not to adjudicate, but to keep the picture honest.</w:t>
            </w:r>
          </w:p>
        </w:tc>
      </w:tr>
    </w:tbl>
    <w:p>
      <w:pPr>
        <w:pStyle w:val="Heading1"/>
      </w:pPr>
      <w:r>
        <w:t xml:space="preserve">3. Dispute-Type Chapters</w:t>
      </w:r>
    </w:p>
    <w:p>
      <w:pPr>
        <w:spacing w:after="140" w:line="276"/>
      </w:pPr>
      <w:r>
        <w:t xml:space="preserve">Each sub-section is a self-contained reference: what it is, the governing law, the wife-side and husband-side positions and remedies, the strategy/leverage each commonly uses (and the bad-faith tactics to watch), and the ODR route.</w:t>
      </w:r>
    </w:p>
    <w:p>
      <w:pPr>
        <w:pStyle w:val="Heading2"/>
      </w:pPr>
      <w:r>
        <w:t xml:space="preserve">3.1 Divorce — mutual consent &amp; contested</w:t>
      </w:r>
    </w:p>
    <w:p>
      <w:pPr>
        <w:spacing w:after="140" w:line="276"/>
      </w:pPr>
      <w:r>
        <w:t xml:space="preserve">Mutual-consent divorce (S.13B HMA / S.28 SMA) requires free consent and a settlement of all ancillary issues; the court records a consent decree after the statutory motions. Contested divorce proceeds on fault or breakdown grounds. Mediation's role is to convert a contested matter into agreed terms, or to settle ancillary issues so only the status question remains.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Grounds for contested divorce (HMA s.13)</w:t>
            </w:r>
          </w:p>
        </w:tc>
        <w:tc>
          <w:tcPr>
            <w:tcW w:type="dxa" w:w="46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Note</w:t>
            </w:r>
          </w:p>
        </w:tc>
      </w:tr>
      <w:tr>
        <w:tc>
          <w:tcPr>
            <w:tcW w:type="dxa" w:w="4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Cruelty (mental or physical)</w:t>
            </w:r>
          </w:p>
        </w:tc>
        <w:tc>
          <w:tcPr>
            <w:tcW w:type="dxa" w:w="46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Most common; fact-intensive</w:t>
            </w:r>
          </w:p>
        </w:tc>
      </w:tr>
      <w:tr>
        <w:tc>
          <w:tcPr>
            <w:tcW w:type="dxa" w:w="4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Adultery</w:t>
            </w:r>
          </w:p>
        </w:tc>
        <w:tc>
          <w:tcPr>
            <w:tcW w:type="dxa" w:w="46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Voluntary sexual intercourse outside marriage</w:t>
            </w:r>
          </w:p>
        </w:tc>
      </w:tr>
      <w:tr>
        <w:tc>
          <w:tcPr>
            <w:tcW w:type="dxa" w:w="4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Desertion (≥ 2 years)</w:t>
            </w:r>
          </w:p>
        </w:tc>
        <w:tc>
          <w:tcPr>
            <w:tcW w:type="dxa" w:w="46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Animus deserendi required</w:t>
            </w:r>
          </w:p>
        </w:tc>
      </w:tr>
      <w:tr>
        <w:tc>
          <w:tcPr>
            <w:tcW w:type="dxa" w:w="4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Conversion to another religion</w:t>
            </w:r>
          </w:p>
        </w:tc>
        <w:tc>
          <w:tcPr>
            <w:tcW w:type="dxa" w:w="46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Ceasing to be Hindu</w:t>
            </w:r>
          </w:p>
        </w:tc>
      </w:tr>
      <w:tr>
        <w:tc>
          <w:tcPr>
            <w:tcW w:type="dxa" w:w="4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Unsound mind / mental disorder</w:t>
            </w:r>
          </w:p>
        </w:tc>
        <w:tc>
          <w:tcPr>
            <w:tcW w:type="dxa" w:w="46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Of a degree making cohabitation impracticable</w:t>
            </w:r>
          </w:p>
        </w:tc>
      </w:tr>
      <w:tr>
        <w:tc>
          <w:tcPr>
            <w:tcW w:type="dxa" w:w="4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Virulent &amp; incurable disease</w:t>
            </w:r>
          </w:p>
        </w:tc>
        <w:tc>
          <w:tcPr>
            <w:tcW w:type="dxa" w:w="46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As specified</w:t>
            </w:r>
          </w:p>
        </w:tc>
      </w:tr>
      <w:tr>
        <w:tc>
          <w:tcPr>
            <w:tcW w:type="dxa" w:w="4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Renunciation / presumption of death (7 years)</w:t>
            </w:r>
          </w:p>
        </w:tc>
        <w:tc>
          <w:tcPr>
            <w:tcW w:type="dxa" w:w="46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Specific grounds</w:t>
            </w:r>
          </w:p>
        </w:tc>
      </w:tr>
      <w:tr>
        <w:tc>
          <w:tcPr>
            <w:tcW w:type="dxa" w:w="4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Wife-specific grounds</w:t>
            </w:r>
          </w:p>
        </w:tc>
        <w:tc>
          <w:tcPr>
            <w:tcW w:type="dxa" w:w="46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e.g., bigamy, rape/sodomy/bestiality, non-resumption after maintenance order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160"/>
        <w:gridCol w:w="200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Typical aim</w:t>
            </w:r>
          </w:p>
        </w:tc>
        <w:tc>
          <w:tcPr>
            <w:tcW w:type="dxa" w:w="3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Lawful levers / remedies</w:t>
            </w:r>
          </w:p>
        </w:tc>
        <w:tc>
          <w:tcPr>
            <w:tcW w:type="dxa" w:w="2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Watch-for (bad faith)</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w:t>
            </w:r>
          </w:p>
        </w:tc>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Dignified exit; security; custody</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Maintenance, streedhan, residence, custody, consent terms</w:t>
            </w:r>
          </w:p>
        </w:tc>
        <w:tc>
          <w:tcPr>
            <w:tcW w:type="dxa" w:w="2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Inflated claims; multiplying forums for pressure</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Husband</w:t>
            </w:r>
          </w:p>
        </w:tc>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Clean exit; fair financial exposure; access</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Negotiate quantum; seek access/joint custody; lump-sum closure</w:t>
            </w:r>
          </w:p>
        </w:tc>
        <w:tc>
          <w:tcPr>
            <w:tcW w:type="dxa" w:w="2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Concealing income; coercion; abandonment of process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Mediation angle</w:t>
            </w:r>
          </w:p>
          <w:p>
            <w:pPr>
              <w:spacing w:after="0"/>
            </w:pPr>
            <w:r>
              <w:rPr>
                <w:color w:val="1F2937"/>
                <w:sz w:val="19"/>
                <w:szCs w:val="19"/>
              </w:rPr>
              <w:t xml:space="preserve">Mutual-consent terms typically settle in weeks once both engage. The mediator's task is to make consent genuine and informed (so the MSA is unimpeachable), document a complete settlement (maintenance + property + custody + costs), and align it with the court's motion timeline. Note the Supreme Court can waive the 6-month cooling-off between motions in deserving mutual-consent cases (Amardeep Singh v Harveen Kaur).</w:t>
            </w:r>
          </w:p>
        </w:tc>
      </w:tr>
    </w:tbl>
    <w:p>
      <w:pPr>
        <w:spacing w:after="80"/>
      </w:pPr>
      <w:r>
        <w:t xml:space="preserve"/>
      </w:r>
    </w:p>
    <w:p>
      <w:pPr>
        <w:pStyle w:val="Heading2"/>
      </w:pPr>
      <w:r>
        <w:t xml:space="preserve">3.2 Maintenance &amp; alimony</w:t>
      </w:r>
    </w:p>
    <w:p>
      <w:pPr>
        <w:spacing w:after="140" w:line="276"/>
      </w:pPr>
      <w:r>
        <w:t xml:space="preserve">Maintenance is the most litigated family-money issue and the one with the clearest Supreme Court discipline. Rajnesh v Neha (2020) requires both spouses to file an Affidavit of Disclosure of Assets and Liabilities, addresses overlapping jurisdiction (set off amounts awarded under different statutes), fixes maintenance generally from the date of application, and lists quantum factors. The same facts can support claims under HMA (s.24/25), S.125 CrPC/BNSS, the DV Act, and personal law — coordination is essential.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200"/>
        <w:gridCol w:w="2160"/>
      </w:tblGrid>
      <w:tr>
        <w:trPr>
          <w:tblHeader/>
        </w:trPr>
        <w:tc>
          <w:tcPr>
            <w:tcW w:type="dxa" w:w="2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Route</w:t>
            </w:r>
          </w:p>
        </w:tc>
        <w:tc>
          <w:tcPr>
            <w:tcW w:type="dxa" w:w="23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Who can claim</w:t>
            </w:r>
          </w:p>
        </w:tc>
        <w:tc>
          <w:tcPr>
            <w:tcW w:type="dxa" w:w="2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Character</w:t>
            </w:r>
          </w:p>
        </w:tc>
        <w:tc>
          <w:tcPr>
            <w:tcW w:type="dxa" w:w="2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Note</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HMA s.24 (interim) / s.25 (permanent)</w:t>
            </w:r>
          </w:p>
        </w:tc>
        <w:tc>
          <w:tcPr>
            <w:tcW w:type="dxa" w:w="2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Either spouse</w:t>
            </w:r>
          </w:p>
        </w:tc>
        <w:tc>
          <w:tcPr>
            <w:tcW w:type="dxa" w:w="2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Civil, in the matrimonial proceeding</w:t>
            </w:r>
          </w:p>
        </w:tc>
        <w:tc>
          <w:tcPr>
            <w:tcW w:type="dxa" w:w="2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Set off against other awards</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S.125 CrPC / S.144 BNSS</w:t>
            </w:r>
          </w:p>
        </w:tc>
        <w:tc>
          <w:tcPr>
            <w:tcW w:type="dxa" w:w="2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Wife, children, parents</w:t>
            </w:r>
          </w:p>
        </w:tc>
        <w:tc>
          <w:tcPr>
            <w:tcW w:type="dxa" w:w="2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Summary, quick</w:t>
            </w:r>
          </w:p>
        </w:tc>
        <w:tc>
          <w:tcPr>
            <w:tcW w:type="dxa" w:w="2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Cannot be defeated by mere divorce</w:t>
            </w:r>
          </w:p>
        </w:tc>
      </w:tr>
      <w:tr>
        <w:tc>
          <w:tcPr>
            <w:tcW w:type="dxa" w:w="2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DV Act monetary relief</w:t>
            </w:r>
          </w:p>
        </w:tc>
        <w:tc>
          <w:tcPr>
            <w:tcW w:type="dxa" w:w="2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Aggrieved woman</w:t>
            </w:r>
          </w:p>
        </w:tc>
        <w:tc>
          <w:tcPr>
            <w:tcW w:type="dxa" w:w="2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Civil via Magistrate</w:t>
            </w:r>
          </w:p>
        </w:tc>
        <w:tc>
          <w:tcPr>
            <w:tcW w:type="dxa" w:w="2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Can include residence + compensation</w:t>
            </w:r>
          </w:p>
        </w:tc>
      </w:tr>
      <w:tr>
        <w:tc>
          <w:tcPr>
            <w:tcW w:type="dxa" w:w="2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Personal-law maintenance</w:t>
            </w:r>
          </w:p>
        </w:tc>
        <w:tc>
          <w:tcPr>
            <w:tcW w:type="dxa" w:w="2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Per community law</w:t>
            </w:r>
          </w:p>
        </w:tc>
        <w:tc>
          <w:tcPr>
            <w:tcW w:type="dxa" w:w="2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Substantive</w:t>
            </w:r>
          </w:p>
        </w:tc>
        <w:tc>
          <w:tcPr>
            <w:tcW w:type="dxa" w:w="2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Coordinate to avoid duplication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38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Position</w:t>
            </w:r>
          </w:p>
        </w:tc>
        <w:tc>
          <w:tcPr>
            <w:tcW w:type="dxa" w:w="40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Levers / evidence</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w:t>
            </w:r>
          </w:p>
        </w:tc>
        <w:tc>
          <w:tcPr>
            <w:tcW w:type="dxa" w:w="38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Adequate, timely support reflecting marital standard of living</w:t>
            </w:r>
          </w:p>
        </w:tc>
        <w:tc>
          <w:tcPr>
            <w:tcW w:type="dxa" w:w="40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Affidavit of needs; husband's income/lifestyle; child expenses</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Husband</w:t>
            </w:r>
          </w:p>
        </w:tc>
        <w:tc>
          <w:tcPr>
            <w:tcW w:type="dxa" w:w="38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Quantum proportionate to genuine income &amp; liabilities; avoid double recovery</w:t>
            </w:r>
          </w:p>
        </w:tc>
        <w:tc>
          <w:tcPr>
            <w:tcW w:type="dxa" w:w="40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Affidavit of income; set-off of amounts already paid; wife's own earning capacity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Practical expectation &amp; build</w:t>
            </w:r>
          </w:p>
          <w:p>
            <w:pPr>
              <w:spacing w:after="0"/>
            </w:pPr>
            <w:r>
              <w:rPr>
                <w:color w:val="1F2937"/>
                <w:sz w:val="19"/>
                <w:szCs w:val="19"/>
              </w:rPr>
              <w:t xml:space="preserve">Quantum is, in the Court's own words, partly ‘guess work’ because parties under- and over-state. Equator's value is to standardise this: a structured Affidavit-of-Disclosure form (PF — Family Disclosure), a needs/means worksheet, and a maintenance calculator that records assumptions. This both speeds settlement and produces an MSA that survives challenge.</w:t>
            </w:r>
          </w:p>
        </w:tc>
      </w:tr>
    </w:tbl>
    <w:p>
      <w:pPr>
        <w:spacing w:after="80"/>
      </w:pPr>
      <w:r>
        <w:t xml:space="preserve"/>
      </w:r>
    </w:p>
    <w:p>
      <w:pPr>
        <w:pStyle w:val="Heading2"/>
      </w:pPr>
      <w:r>
        <w:t xml:space="preserve">3.3 Child custody, guardianship &amp; parenting</w:t>
      </w:r>
    </w:p>
    <w:p>
      <w:pPr>
        <w:spacing w:after="140" w:line="276"/>
      </w:pPr>
      <w:r>
        <w:t xml:space="preserve">Custody is governed by the welfare-of-the-child principle, which overrides the ‘rights’ of either parent and is non-arbitrable. Courts increasingly favour arrangements that preserve the child's relationship with both parents; joint parenting is recognised as generally best (Rajnesh v Neha notes joint parenting aids upbringing). Mediation is ideal for building a detailed parenting plan; what mediation cannot do is bargain away the child's welfare.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Concept</w:t>
            </w:r>
          </w:p>
        </w:tc>
        <w:tc>
          <w:tcPr>
            <w:tcW w:type="dxa" w:w="63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Meaning</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Legal vs physical custody</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Decision-making authority vs day-to-day residence</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Sole / joint custody</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With one parent / shared (in varying forms)</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Visitation / access</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Structured contact for the non-custodial parent</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Guardianship (GWA 1890)</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Person/property guardianship; welfare test</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Relocation</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Moving the child's residence — needs careful terms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3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Common aim</w:t>
            </w:r>
          </w:p>
        </w:tc>
        <w:tc>
          <w:tcPr>
            <w:tcW w:type="dxa" w:w="4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Levers (welfare-framed)</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Mother</w:t>
            </w:r>
          </w:p>
        </w:tc>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Primary care continuity; stability; support</w:t>
            </w:r>
          </w:p>
        </w:tc>
        <w:tc>
          <w:tcPr>
            <w:tcW w:type="dxa" w:w="4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Caregiving history; child's routine; schooling</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Father</w:t>
            </w:r>
          </w:p>
        </w:tc>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Meaningful, structured involvement; joint custody/access</w:t>
            </w:r>
          </w:p>
        </w:tc>
        <w:tc>
          <w:tcPr>
            <w:tcW w:type="dxa" w:w="4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Parenting capacity; financial provision; child's bond</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The child (paramount)</w:t>
            </w:r>
          </w:p>
        </w:tc>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Stability, both relationships, safety</w:t>
            </w:r>
          </w:p>
        </w:tc>
        <w:tc>
          <w:tcPr>
            <w:tcW w:type="dxa" w:w="4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Welfare is the test — not a bargaining chip</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Parenting-plan builder</w:t>
            </w:r>
          </w:p>
          <w:p>
            <w:pPr>
              <w:spacing w:after="0"/>
            </w:pPr>
            <w:r>
              <w:rPr>
                <w:color w:val="1F2937"/>
                <w:sz w:val="19"/>
                <w:szCs w:val="19"/>
              </w:rPr>
              <w:t xml:space="preserve">The mediator builds a parenting plan covering custody type, a detailed access schedule (weekdays, weekends, holidays, festivals), schooling and medical decisions, communication protocol, relocation terms, and a review/dispute clause. The platform captures this as the PF6 Parenting Plan form (tier HIGH; non-arbitrable flag auto-set).</w:t>
            </w:r>
          </w:p>
        </w:tc>
      </w:tr>
    </w:tbl>
    <w:p>
      <w:pPr>
        <w:spacing w:after="80"/>
      </w:pPr>
      <w:r>
        <w:t xml:space="preserve"/>
      </w:r>
    </w:p>
    <w:p>
      <w:pPr>
        <w:pStyle w:val="Heading2"/>
      </w:pPr>
      <w:r>
        <w:t xml:space="preserve">3.4 Domestic violence (PWDVA 2005)</w:t>
      </w:r>
    </w:p>
    <w:p>
      <w:pPr>
        <w:spacing w:after="140" w:line="276"/>
      </w:pPr>
      <w:r>
        <w:t xml:space="preserve">The DV Act gives an ‘aggrieved woman’ quick civil remedies through the Magistrate: protection orders, residence orders (including the right to reside in the shared household), monetary relief, custody orders, and compensation. It is civil in character though heard in a criminal court. Breach of a protection order is itself a penal offence.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Relief (DV Act)</w:t>
            </w:r>
          </w:p>
        </w:tc>
        <w:tc>
          <w:tcPr>
            <w:tcW w:type="dxa" w:w="63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Effect</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Protection order (s.18)</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Restrains further violence/contact</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Residence order (s.19)</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Right to reside in shared household; restrains dispossession</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Monetary relief (s.20)</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Maintenance, loss, medical, etc.</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Custody order (s.21)</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Interim custody to the aggrieved woman</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Compensation (s.22)</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For injuries incl. mental torture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3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Position</w:t>
            </w:r>
          </w:p>
        </w:tc>
        <w:tc>
          <w:tcPr>
            <w:tcW w:type="dxa" w:w="4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Lawful course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 (aggrieved)</w:t>
            </w:r>
          </w:p>
        </w:tc>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Safety, residence, support</w:t>
            </w:r>
          </w:p>
        </w:tc>
        <w:tc>
          <w:tcPr>
            <w:tcW w:type="dxa" w:w="4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Seek interim protection/residence/monetary relief; document incidents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Husband (respondent)</w:t>
            </w:r>
          </w:p>
        </w:tc>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Defend against misuse; preserve access; protect reputation</w:t>
            </w:r>
          </w:p>
        </w:tc>
        <w:tc>
          <w:tcPr>
            <w:tcW w:type="dxa" w:w="4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Rebut with evidence; comply with interim orders; raise false-implication where genuine (high threshold)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2E2" w:sz="1"/>
              <w:left w:val="single" w:color="9B1C1C" w:sz="24"/>
              <w:bottom w:val="single" w:color="FDE2E2" w:sz="1"/>
              <w:right w:val="single" w:color="FDE2E2" w:sz="1"/>
            </w:tcBorders>
            <w:shd w:fill="FDE2E2" w:val="clear"/>
            <w:tcMar>
              <w:top w:type="dxa" w:w="120"/>
              <w:left w:type="dxa" w:w="160"/>
              <w:bottom w:type="dxa" w:w="120"/>
              <w:right w:type="dxa" w:w="160"/>
            </w:tcMar>
          </w:tcPr>
          <w:p>
            <w:pPr>
              <w:spacing w:after="60"/>
            </w:pPr>
            <w:r>
              <w:rPr>
                <w:b/>
                <w:bCs/>
                <w:color w:val="0B2A4A"/>
                <w:sz w:val="20"/>
                <w:szCs w:val="20"/>
              </w:rPr>
              <w:t xml:space="preserve">Sensitivity &amp; safety (build)</w:t>
            </w:r>
          </w:p>
          <w:p>
            <w:pPr>
              <w:spacing w:after="0"/>
            </w:pPr>
            <w:r>
              <w:rPr>
                <w:color w:val="1F2937"/>
                <w:sz w:val="19"/>
                <w:szCs w:val="19"/>
              </w:rPr>
              <w:t xml:space="preserve">Where there is an allegation or risk of violence, mediation must be screened for power imbalance and safety. The platform should flag DV strands, never force joint sessions where unsafe (use caucus/shuttle), and keep the criminal/penal aspects out of any ‘settlement’ of the offence. Civil terms (support, residence, custody) can still be mediated within statutory safeguards.</w:t>
            </w:r>
          </w:p>
        </w:tc>
      </w:tr>
    </w:tbl>
    <w:p>
      <w:pPr>
        <w:spacing w:after="80"/>
      </w:pPr>
      <w:r>
        <w:t xml:space="preserve"/>
      </w:r>
    </w:p>
    <w:p>
      <w:pPr>
        <w:pStyle w:val="Heading2"/>
      </w:pPr>
      <w:r>
        <w:t xml:space="preserve">3.5 Matrimonial cruelty &amp; dowry harassment (S.498A IPC / S.85 BNS)</w:t>
      </w:r>
    </w:p>
    <w:p>
      <w:pPr>
        <w:spacing w:after="140" w:line="276"/>
      </w:pPr>
      <w:r>
        <w:t xml:space="preserve">S.498A (now S.85 BNS) criminalises cruelty by a husband or his relatives, including dowry-related harassment. It is a serious criminal provision; the criminal aspect is non-arbitrable and not for private ‘settlement’ of the offence. The Supreme Court has repeatedly cautioned against routine arrests and misuse (Arnesh Kumar v State of Bihar arrest safeguards; Rajesh Sharma guidelines history), while affirming the provision protects genuine victims.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3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Position</w:t>
            </w:r>
          </w:p>
        </w:tc>
        <w:tc>
          <w:tcPr>
            <w:tcW w:type="dxa" w:w="4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Lawful course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w:t>
            </w:r>
          </w:p>
        </w:tc>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Protection from cruelty/dowry harassment</w:t>
            </w:r>
          </w:p>
        </w:tc>
        <w:tc>
          <w:tcPr>
            <w:tcW w:type="dxa" w:w="4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File complaint; seek protection; pursue civil reliefs in parallel</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Husband / relatives</w:t>
            </w:r>
          </w:p>
        </w:tc>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Defend against false/omnibus implication</w:t>
            </w:r>
          </w:p>
        </w:tc>
        <w:tc>
          <w:tcPr>
            <w:tcW w:type="dxa" w:w="4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Arnesh Kumar safeguards; anticipatory bail; seek quashing of frivolous FIRs; evidence of innocence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DE2E2" w:sz="1"/>
              <w:left w:val="single" w:color="9B1C1C" w:sz="24"/>
              <w:bottom w:val="single" w:color="FDE2E2" w:sz="1"/>
              <w:right w:val="single" w:color="FDE2E2" w:sz="1"/>
            </w:tcBorders>
            <w:shd w:fill="FDE2E2" w:val="clear"/>
            <w:tcMar>
              <w:top w:type="dxa" w:w="120"/>
              <w:left w:type="dxa" w:w="160"/>
              <w:bottom w:type="dxa" w:w="120"/>
              <w:right w:type="dxa" w:w="160"/>
            </w:tcMar>
          </w:tcPr>
          <w:p>
            <w:pPr>
              <w:spacing w:after="60"/>
            </w:pPr>
            <w:r>
              <w:rPr>
                <w:b/>
                <w:bCs/>
                <w:color w:val="0B2A4A"/>
                <w:sz w:val="20"/>
                <w:szCs w:val="20"/>
              </w:rPr>
              <w:t xml:space="preserve">Red line for the platform</w:t>
            </w:r>
          </w:p>
          <w:p>
            <w:pPr>
              <w:spacing w:after="0"/>
            </w:pPr>
            <w:r>
              <w:rPr>
                <w:color w:val="1F2937"/>
                <w:sz w:val="19"/>
                <w:szCs w:val="19"/>
              </w:rPr>
              <w:t xml:space="preserve">The criminal offence under S.498A/S.85 cannot be ‘mediated away’ — only its civil/compoundable consequences and the broader matrimonial settlement can be negotiated, and quashing of criminal proceedings on the basis of a genuine settlement is a matter for the High Court (Gian Singh / B.S. Joshi line). The platform must present these matters with a non-arbitrable, non-settleable-offence flag and route the criminal strand to the correct forum.</w:t>
            </w:r>
          </w:p>
        </w:tc>
      </w:tr>
    </w:tbl>
    <w:p>
      <w:pPr>
        <w:spacing w:after="80"/>
      </w:pPr>
      <w:r>
        <w:t xml:space="preserve"/>
      </w:r>
    </w:p>
    <w:p>
      <w:pPr>
        <w:pStyle w:val="Heading2"/>
      </w:pPr>
      <w:r>
        <w:t xml:space="preserve">3.6 Restitution of conjugal rights &amp; judicial separation</w:t>
      </w:r>
    </w:p>
    <w:p>
      <w:pPr>
        <w:spacing w:after="140" w:line="276"/>
      </w:pPr>
      <w:r>
        <w:t xml:space="preserve">Restitution of conjugal rights (s.9 HMA) is a remedy by which a spouse who has been deserted, without reasonable excuse, asks the court to direct the other to resume cohabitation. In genuine cases it is an attempt at reconciliation; in practice it is frequently a tactical move within a larger contest. A husband may file RCR to rebut a desertion allegation or to blunt a maintenance claim by showing willingness to cohabit; a wife may use a husband's non-compliance with an RCR decree as a ground that ripens into divorce (HMA s.13(1A) allows divorce where there has been no resumption of cohabitation for one year after an RCR decree). The constitutional validity of s.9 was upheld in Saroj Rani v Sudarshan Kumar, though the remedy remains debated. Judicial separation (s.10) is the lighter alternative: it suspends the obligation to cohabit without dissolving the marriage, preserving inheritance and status while the parties take stock, and can itself convert into divorce after the statutory period.</w:t>
      </w:r>
    </w:p>
    <w:p>
      <w:pPr>
        <w:spacing w:after="140" w:line="276"/>
      </w:pPr>
      <w:r>
        <w:t xml:space="preserve">For the neutral, both remedies are valuable mediation entry points precisely because they are reversible and lower-stakes than divorce. A matter that arrives as an RCR petition is often really a negotiation about terms of return or terms of separation; the mediator's task is to surface the real interests (often financial security, dignity, or access to children) and either rebuild the relationship through a reconciliation-focused process or convert the dispute into a clean, agreed separation. The platform supports this with a reconciliation track that can pause the mediation clock and optionally involve a counsellor.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Perspective</w:t>
            </w:r>
          </w:p>
        </w:tc>
        <w:tc>
          <w:tcPr>
            <w:tcW w:type="dxa" w:w="4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Tactical use of RCR / judicial separation</w:t>
            </w:r>
          </w:p>
        </w:tc>
        <w:tc>
          <w:tcPr>
            <w:tcW w:type="dxa" w:w="3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Watch-for</w:t>
            </w:r>
          </w:p>
        </w:tc>
      </w:tr>
      <w:tr>
        <w:tc>
          <w:tcPr>
            <w:tcW w:type="dxa" w:w="1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w:t>
            </w:r>
          </w:p>
        </w:tc>
        <w:tc>
          <w:tcPr>
            <w:tcW w:type="dxa" w:w="4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Establish entitlement to matrimonial home/support; basis for s.13(1A) divorce on non-resumption</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RCR used merely to defeat a genuine maintenance claim</w:t>
            </w:r>
          </w:p>
        </w:tc>
      </w:tr>
      <w:tr>
        <w:tc>
          <w:tcPr>
            <w:tcW w:type="dxa" w:w="1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Husband</w:t>
            </w:r>
          </w:p>
        </w:tc>
        <w:tc>
          <w:tcPr>
            <w:tcW w:type="dxa" w:w="4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Rebut desertion; show bona fide willingness to cohabit; create a record</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Filing without genuine intent to cohabit (court can see through it)</w:t>
            </w:r>
          </w:p>
        </w:tc>
      </w:tr>
    </w:tbl>
    <w:p>
      <w:pPr>
        <w:spacing w:after="80"/>
      </w:pPr>
      <w:r>
        <w:t xml:space="preserve"/>
      </w:r>
    </w:p>
    <w:p>
      <w:pPr>
        <w:pStyle w:val="Heading2"/>
      </w:pPr>
      <w:r>
        <w:t xml:space="preserve">3.7 Matrimonial property, streedhan &amp; financial settlement</w:t>
      </w:r>
    </w:p>
    <w:p>
      <w:pPr>
        <w:spacing w:after="140" w:line="276"/>
      </w:pPr>
      <w:r>
        <w:t xml:space="preserve">India, unlike many Western systems, has no community-of-property or equitable-distribution regime: on divorce there is no automatic 50:50 split, and assets generally belong to whoever holds legal title. This single feature shapes most financial disputes. A spouse (usually the wife) who contributed to a property held in the other's name has no statutory ownership claim merely by virtue of marriage, though she may assert a beneficial interest if she can prove financial contribution, and she retains strong claims to maintenance/alimony and to her streedhan. Reform proposals to recognise the economic value of homemaking and to share matrimonial property exist but are not yet law, so the practical levers remain alimony, asset transfers negotiated as part of settlement, and security arrangements.</w:t>
      </w:r>
    </w:p>
    <w:p>
      <w:pPr>
        <w:spacing w:after="140" w:line="276"/>
      </w:pPr>
      <w:r>
        <w:t xml:space="preserve">Streedhan — the property a woman receives before, during and after marriage (gifts, jewellery, gifts from relatives, her own earnings and savings) — is legally distinct: it is her absolute property under s.14 of the Hindu Succession Act and must be returned to her, and wrongful retention of it by the husband or his family can also attract criminal liability. The Supreme Court has repeatedly affirmed the wife's exclusive ownership of streedhan (e.g., Pratibha Rani v Suraj Kumar; Maya Gopinathan v Anoop S.B., 2024, reaffirming that the husband has no control over streedhan and is liable to return it). Distinguishing streedhan from ‘dowry’ (which is prohibited) and from jointly-acquired assets is therefore a recurring, fact-sensitive task.</w:t>
      </w:r>
    </w:p>
    <w:p>
      <w:pPr>
        <w:spacing w:after="140" w:line="276"/>
      </w:pPr>
      <w:r>
        <w:t xml:space="preserve">Financial settlement is the most clearly arbitrable strand of a marital dispute and the most amenable to a durable, mediated ‘clean break’. Parties who want finality typically bundle permanent alimony (lump-sum or structured), transfer or partition of specific assets, return of streedhan with an agreed inventory, and security for any continuing obligations into a single Mediated Settlement Agreement. Because there is no default split to fall back on, the quality of disclosure (the Rajnesh v Neha affidavit) and a precise asset schedule are what make the settlement fair and unimpeachable.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460"/>
      </w:tblGrid>
      <w:tr>
        <w:trPr>
          <w:tblHeader/>
        </w:trPr>
        <w:tc>
          <w:tcPr>
            <w:tcW w:type="dxa" w:w="23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Asset category</w:t>
            </w:r>
          </w:p>
        </w:tc>
        <w:tc>
          <w:tcPr>
            <w:tcW w:type="dxa" w:w="3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Default position</w:t>
            </w:r>
          </w:p>
        </w:tc>
        <w:tc>
          <w:tcPr>
            <w:tcW w:type="dxa" w:w="3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Settlement / mediation lever</w:t>
            </w:r>
          </w:p>
        </w:tc>
      </w:tr>
      <w:tr>
        <w:tc>
          <w:tcPr>
            <w:tcW w:type="dxa" w:w="2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Self-acquired, sole title</w:t>
            </w:r>
          </w:p>
        </w:tc>
        <w:tc>
          <w:tcPr>
            <w:tcW w:type="dxa" w:w="3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Belongs to title-holder</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Transfer/partition negotiated as part of alimony bundle</w:t>
            </w:r>
          </w:p>
        </w:tc>
      </w:tr>
      <w:tr>
        <w:tc>
          <w:tcPr>
            <w:tcW w:type="dxa" w:w="2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Jointly-held / jointly-funded</w:t>
            </w:r>
          </w:p>
        </w:tc>
        <w:tc>
          <w:tcPr>
            <w:tcW w:type="dxa" w:w="3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Per title &amp; proven contribution</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Buy-out, sale-and-split, or retained with offset</w:t>
            </w:r>
          </w:p>
        </w:tc>
      </w:tr>
      <w:tr>
        <w:tc>
          <w:tcPr>
            <w:tcW w:type="dxa" w:w="2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Streedhan</w:t>
            </w:r>
          </w:p>
        </w:tc>
        <w:tc>
          <w:tcPr>
            <w:tcW w:type="dxa" w:w="3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Wife's absolute property — must be returned</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Inventory + return; criminal exposure if withheld</w:t>
            </w:r>
          </w:p>
        </w:tc>
      </w:tr>
      <w:tr>
        <w:tc>
          <w:tcPr>
            <w:tcW w:type="dxa" w:w="2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Matrimonial home (rented/owned)</w:t>
            </w:r>
          </w:p>
        </w:tc>
        <w:tc>
          <w:tcPr>
            <w:tcW w:type="dxa" w:w="3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Title / tenancy governs; DV residence right may apply</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Right to reside vs. relocation with alternate provision</w:t>
            </w:r>
          </w:p>
        </w:tc>
      </w:tr>
      <w:tr>
        <w:tc>
          <w:tcPr>
            <w:tcW w:type="dxa" w:w="2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Investments / business interests</w:t>
            </w:r>
          </w:p>
        </w:tc>
        <w:tc>
          <w:tcPr>
            <w:tcW w:type="dxa" w:w="3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Title-based; valuation needed</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Valuation + lump-sum buy-out for finality</w:t>
            </w:r>
          </w:p>
        </w:tc>
      </w:tr>
    </w:tbl>
    <w:p>
      <w:pPr>
        <w:spacing w:after="80"/>
      </w:pPr>
      <w:r>
        <w:t xml:space="preserve"/>
      </w:r>
    </w:p>
    <w:p>
      <w:pPr>
        <w:pStyle w:val="Heading1"/>
      </w:pPr>
      <w:r>
        <w:t xml:space="preserve">4. Prevailing Social Scenarios (India) — Pattern Library</w:t>
      </w:r>
    </w:p>
    <w:p>
      <w:pPr>
        <w:spacing w:after="140" w:line="276"/>
      </w:pPr>
      <w:r>
        <w:t xml:space="preserve">Real matters arrive as recognisable patterns. This library helps the case manager triage quickly and the IT team seed intake-triage rules and test cases. Each pattern notes the usual mix of strands and the recommended ODR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2650"/>
        <w:gridCol w:w="3160"/>
        <w:gridCol w:w="3100"/>
      </w:tblGrid>
      <w:tr>
        <w:trPr>
          <w:tblHeader/>
        </w:trPr>
        <w:tc>
          <w:tcPr>
            <w:tcW w:type="dxa" w:w="4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t>
            </w:r>
          </w:p>
        </w:tc>
        <w:tc>
          <w:tcPr>
            <w:tcW w:type="dxa" w:w="265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Scenario pattern</w:t>
            </w:r>
          </w:p>
        </w:tc>
        <w:tc>
          <w:tcPr>
            <w:tcW w:type="dxa" w:w="3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Usual strands</w:t>
            </w:r>
          </w:p>
        </w:tc>
        <w:tc>
          <w:tcPr>
            <w:tcW w:type="dxa" w:w="31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Recommended handling</w:t>
            </w:r>
          </w:p>
        </w:tc>
      </w:tr>
      <w:tr>
        <w:tc>
          <w:tcPr>
            <w:tcW w:type="dxa" w:w="4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S1</w:t>
            </w:r>
          </w:p>
        </w:tc>
        <w:tc>
          <w:tcPr>
            <w:tcW w:type="dxa" w:w="2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Early-marriage breakdown, no children</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Divorce + streedhan + small maintenance</w:t>
            </w:r>
          </w:p>
        </w:tc>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Fast mutual-consent mediation; lump-sum clean break</w:t>
            </w:r>
          </w:p>
        </w:tc>
      </w:tr>
      <w:tr>
        <w:tc>
          <w:tcPr>
            <w:tcW w:type="dxa" w:w="4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S2</w:t>
            </w:r>
          </w:p>
        </w:tc>
        <w:tc>
          <w:tcPr>
            <w:tcW w:type="dxa" w:w="2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Breakdown with young child(ren)</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Custody + maintenance + child support</w:t>
            </w:r>
          </w:p>
        </w:tc>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Mediation with parenting plan; child specialist optional</w:t>
            </w:r>
          </w:p>
        </w:tc>
      </w:tr>
      <w:tr>
        <w:tc>
          <w:tcPr>
            <w:tcW w:type="dxa" w:w="4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S3</w:t>
            </w:r>
          </w:p>
        </w:tc>
        <w:tc>
          <w:tcPr>
            <w:tcW w:type="dxa" w:w="2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Allegation of cruelty/dowry (498A) + cross-cases</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Criminal 498A + DV + maintenance + divorce</w:t>
            </w:r>
          </w:p>
        </w:tc>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Screen safety; mediate civil bundle; criminal strand to forum; possible HC quashing on settlement</w:t>
            </w:r>
          </w:p>
        </w:tc>
      </w:tr>
      <w:tr>
        <w:tc>
          <w:tcPr>
            <w:tcW w:type="dxa" w:w="4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S4</w:t>
            </w:r>
          </w:p>
        </w:tc>
        <w:tc>
          <w:tcPr>
            <w:tcW w:type="dxa" w:w="2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DV / safety concern, wife seeks residence</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DV protection/residence/monetary</w:t>
            </w:r>
          </w:p>
        </w:tc>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Safety-screened mediation (caucus); interim reliefs respected</w:t>
            </w:r>
          </w:p>
        </w:tc>
      </w:tr>
      <w:tr>
        <w:tc>
          <w:tcPr>
            <w:tcW w:type="dxa" w:w="4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S5</w:t>
            </w:r>
          </w:p>
        </w:tc>
        <w:tc>
          <w:tcPr>
            <w:tcW w:type="dxa" w:w="2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NRI / cross-border spouse</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Jurisdiction + maintenance + custody (relocation)</w:t>
            </w:r>
          </w:p>
        </w:tc>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Coordinate jurisdiction; mirror-order/relocation terms; online mediation</w:t>
            </w:r>
          </w:p>
        </w:tc>
      </w:tr>
      <w:tr>
        <w:tc>
          <w:tcPr>
            <w:tcW w:type="dxa" w:w="4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S6</w:t>
            </w:r>
          </w:p>
        </w:tc>
        <w:tc>
          <w:tcPr>
            <w:tcW w:type="dxa" w:w="2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High-net-worth, complex assets</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Asset division + alimony + business interests</w:t>
            </w:r>
          </w:p>
        </w:tc>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Mediation + arbitration of financial; disclosure affidavits; valuation</w:t>
            </w:r>
          </w:p>
        </w:tc>
      </w:tr>
      <w:tr>
        <w:tc>
          <w:tcPr>
            <w:tcW w:type="dxa" w:w="4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S7</w:t>
            </w:r>
          </w:p>
        </w:tc>
        <w:tc>
          <w:tcPr>
            <w:tcW w:type="dxa" w:w="2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Long marriage, maintenance-focused (older spouse)</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Permanent alimony + residence</w:t>
            </w:r>
          </w:p>
        </w:tc>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Needs/means worksheet; durable support terms</w:t>
            </w:r>
          </w:p>
        </w:tc>
      </w:tr>
      <w:tr>
        <w:tc>
          <w:tcPr>
            <w:tcW w:type="dxa" w:w="4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S8</w:t>
            </w:r>
          </w:p>
        </w:tc>
        <w:tc>
          <w:tcPr>
            <w:tcW w:type="dxa" w:w="2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Inter-faith / Special Marriage Act</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Divorce + ancillaries</w:t>
            </w:r>
          </w:p>
        </w:tc>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SMA procedure; mediation of terms</w:t>
            </w:r>
          </w:p>
        </w:tc>
      </w:tr>
      <w:tr>
        <w:tc>
          <w:tcPr>
            <w:tcW w:type="dxa" w:w="4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S9</w:t>
            </w:r>
          </w:p>
        </w:tc>
        <w:tc>
          <w:tcPr>
            <w:tcW w:type="dxa" w:w="265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Mutual, amicable, both want speed</w:t>
            </w:r>
          </w:p>
        </w:tc>
        <w:tc>
          <w:tcPr>
            <w:tcW w:type="dxa" w:w="3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All terms agreed</w:t>
            </w:r>
          </w:p>
        </w:tc>
        <w:tc>
          <w:tcPr>
            <w:tcW w:type="dxa" w:w="31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3"/>
                <w:szCs w:val="13"/>
              </w:rPr>
              <w:t xml:space="preserve">Document complete MSA; seek cooling-off waiver</w:t>
            </w:r>
          </w:p>
        </w:tc>
      </w:tr>
      <w:tr>
        <w:tc>
          <w:tcPr>
            <w:tcW w:type="dxa" w:w="4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S10</w:t>
            </w:r>
          </w:p>
        </w:tc>
        <w:tc>
          <w:tcPr>
            <w:tcW w:type="dxa" w:w="265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Reconciliation possible</w:t>
            </w:r>
          </w:p>
        </w:tc>
        <w:tc>
          <w:tcPr>
            <w:tcW w:type="dxa" w:w="3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Suspended/withdrawn proceedings</w:t>
            </w:r>
          </w:p>
        </w:tc>
        <w:tc>
          <w:tcPr>
            <w:tcW w:type="dxa" w:w="31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3"/>
                <w:szCs w:val="13"/>
              </w:rPr>
              <w:t xml:space="preserve">Reconciliation-focused mediation; RCR/judicial-separation terms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Build — scenario_patterns &amp; triage</w:t>
            </w:r>
          </w:p>
          <w:p>
            <w:pPr>
              <w:spacing w:after="0"/>
            </w:pPr>
            <w:r>
              <w:rPr>
                <w:color w:val="1F2937"/>
                <w:sz w:val="19"/>
                <w:szCs w:val="19"/>
              </w:rPr>
              <w:t xml:space="preserve">Encode these as scenario_patterns reference data. At intake, the selected case_subtype plus a few triage questions (children? safety concern? cross-border? criminal case filed?) suggests the pattern, which pre-configures the workspace (e.g., enable parenting-plan builder, enable safety-screening, enable disclosure affidavits) and seeds the right clocks.</w:t>
            </w:r>
          </w:p>
        </w:tc>
      </w:tr>
    </w:tbl>
    <w:p>
      <w:pPr>
        <w:pStyle w:val="Heading1"/>
      </w:pPr>
      <w:r>
        <w:t xml:space="preserve">5. The Family Mediation Playbook (conducting the matter)</w:t>
      </w:r>
    </w:p>
    <w:p>
      <w:pPr>
        <w:spacing w:after="140" w:line="276"/>
      </w:pPr>
      <w:r>
        <w:t xml:space="preserve">This is the neutral's operating method, mapped to the platform's mediation workspace. It is interest-based and child-sensitive, with strict confidentiality.</w:t>
      </w:r>
    </w:p>
    <w:p>
      <w:pPr>
        <w:pStyle w:val="Heading2"/>
      </w:pPr>
      <w:r>
        <w:t xml:space="preserve">5.1 Stage flow</w:t>
      </w:r>
    </w:p>
    <w:p>
      <w:pPr>
        <w:pStyle w:val="ListParagraph"/>
        <w:numPr>
          <w:ilvl w:val="0"/>
          <w:numId w:val="2"/>
        </w:numPr>
        <w:spacing w:after="60" w:line="268"/>
      </w:pPr>
      <w:r>
        <w:t xml:space="preserve">Screening &amp; convening — verify parties; screen for power imbalance / DV / safety; set tier HIGH; explain confidentiality and voluntariness.</w:t>
      </w:r>
    </w:p>
    <w:p>
      <w:pPr>
        <w:pStyle w:val="ListParagraph"/>
        <w:numPr>
          <w:ilvl w:val="0"/>
          <w:numId w:val="2"/>
        </w:numPr>
        <w:spacing w:after="60" w:line="268"/>
      </w:pPr>
      <w:r>
        <w:t xml:space="preserve">Opening &amp; ground rules — joint session (or shuttle if unsafe); agenda of issues (status, children, money, property).</w:t>
      </w:r>
    </w:p>
    <w:p>
      <w:pPr>
        <w:pStyle w:val="ListParagraph"/>
        <w:numPr>
          <w:ilvl w:val="0"/>
          <w:numId w:val="2"/>
        </w:numPr>
        <w:spacing w:after="60" w:line="268"/>
      </w:pPr>
      <w:r>
        <w:t xml:space="preserve">Information &amp; disclosure — exchange Affidavit of Disclosure (Rajnesh v Neha); child needs; asset schedule.</w:t>
      </w:r>
    </w:p>
    <w:p>
      <w:pPr>
        <w:pStyle w:val="ListParagraph"/>
        <w:numPr>
          <w:ilvl w:val="0"/>
          <w:numId w:val="2"/>
        </w:numPr>
        <w:spacing w:after="60" w:line="268"/>
      </w:pPr>
      <w:r>
        <w:t xml:space="preserve">Interests, not positions — explore each spouse's underlying needs (security, dignity, the children's stability).</w:t>
      </w:r>
    </w:p>
    <w:p>
      <w:pPr>
        <w:pStyle w:val="ListParagraph"/>
        <w:numPr>
          <w:ilvl w:val="0"/>
          <w:numId w:val="2"/>
        </w:numPr>
        <w:spacing w:after="60" w:line="268"/>
      </w:pPr>
      <w:r>
        <w:t xml:space="preserve">Option generation — maintenance models, custody/access patterns, asset splits, clean-break vs periodic.</w:t>
      </w:r>
    </w:p>
    <w:p>
      <w:pPr>
        <w:pStyle w:val="ListParagraph"/>
        <w:numPr>
          <w:ilvl w:val="0"/>
          <w:numId w:val="2"/>
        </w:numPr>
        <w:spacing w:after="60" w:line="268"/>
      </w:pPr>
      <w:r>
        <w:t xml:space="preserve">Reality-testing — against the law and likely court outcomes; ensure consent is informed.</w:t>
      </w:r>
    </w:p>
    <w:p>
      <w:pPr>
        <w:pStyle w:val="ListParagraph"/>
        <w:numPr>
          <w:ilvl w:val="0"/>
          <w:numId w:val="2"/>
        </w:numPr>
        <w:spacing w:after="60" w:line="268"/>
      </w:pPr>
      <w:r>
        <w:t xml:space="preserve">Agreement — draft a complete MSA + parenting plan; check capacity and free consent.</w:t>
      </w:r>
    </w:p>
    <w:p>
      <w:pPr>
        <w:pStyle w:val="ListParagraph"/>
        <w:numPr>
          <w:ilvl w:val="0"/>
          <w:numId w:val="2"/>
        </w:numPr>
        <w:spacing w:after="60" w:line="268"/>
      </w:pPr>
      <w:r>
        <w:t xml:space="preserve">Closure — e-sign, stamp; guide on court motion for consent decree; set review clause.</w:t>
      </w:r>
    </w:p>
    <w:p>
      <w:pPr>
        <w:spacing w:after="80"/>
      </w:pPr>
      <w:r>
        <w:t xml:space="preserve"/>
      </w:r>
    </w:p>
    <w:p>
      <w:pPr>
        <w:pStyle w:val="Heading2"/>
      </w:pPr>
      <w:r>
        <w:t xml:space="preserve">5.2 Mediator toolkit (and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Tool</w:t>
            </w:r>
          </w:p>
        </w:tc>
        <w:tc>
          <w:tcPr>
            <w:tcW w:type="dxa" w:w="34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Purpose</w:t>
            </w:r>
          </w:p>
        </w:tc>
        <w:tc>
          <w:tcPr>
            <w:tcW w:type="dxa" w:w="3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Platform support</w:t>
            </w:r>
          </w:p>
        </w:tc>
      </w:tr>
      <w:tr>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Caucus / shuttle mediation</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Manage conflict / safety</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Private caucus rooms; controlled disclosure</w:t>
            </w:r>
          </w:p>
        </w:tc>
      </w:tr>
      <w:tr>
        <w:tc>
          <w:tcPr>
            <w:tcW w:type="dxa" w:w="2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Affidavit of Disclosure</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Honest financial picture</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Structured disclosure form</w:t>
            </w:r>
          </w:p>
        </w:tc>
      </w:tr>
      <w:tr>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Needs/means worksheet</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Ground maintenance in numbers</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Maintenance calculator (records assumptions)</w:t>
            </w:r>
          </w:p>
        </w:tc>
      </w:tr>
      <w:tr>
        <w:tc>
          <w:tcPr>
            <w:tcW w:type="dxa" w:w="2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Parenting-plan template</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Durable child arrangements</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PF6 builder; non-arbitrable flag</w:t>
            </w:r>
          </w:p>
        </w:tc>
      </w:tr>
      <w:tr>
        <w:tc>
          <w:tcPr>
            <w:tcW w:type="dxa" w:w="25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Reality-testing scripts</w:t>
            </w:r>
          </w:p>
        </w:tc>
        <w:tc>
          <w:tcPr>
            <w:tcW w:type="dxa" w:w="34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Informed consent</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Knowledge base; AI summarisation (advisory)</w:t>
            </w:r>
          </w:p>
        </w:tc>
      </w:tr>
      <w:tr>
        <w:tc>
          <w:tcPr>
            <w:tcW w:type="dxa" w:w="25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Reconciliation track</w:t>
            </w:r>
          </w:p>
        </w:tc>
        <w:tc>
          <w:tcPr>
            <w:tcW w:type="dxa" w:w="34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Where reunion is viable</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Optional counsellor; suspend clock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F4EA" w:sz="1"/>
              <w:left w:val="single" w:color="1E7D34" w:sz="24"/>
              <w:bottom w:val="single" w:color="E6F4EA" w:sz="1"/>
              <w:right w:val="single" w:color="E6F4EA" w:sz="1"/>
            </w:tcBorders>
            <w:shd w:fill="E6F4EA" w:val="clear"/>
            <w:tcMar>
              <w:top w:type="dxa" w:w="120"/>
              <w:left w:type="dxa" w:w="160"/>
              <w:bottom w:type="dxa" w:w="120"/>
              <w:right w:type="dxa" w:w="160"/>
            </w:tcMar>
          </w:tcPr>
          <w:p>
            <w:pPr>
              <w:spacing w:after="60"/>
            </w:pPr>
            <w:r>
              <w:rPr>
                <w:b/>
                <w:bCs/>
                <w:color w:val="0B2A4A"/>
                <w:sz w:val="20"/>
                <w:szCs w:val="20"/>
              </w:rPr>
              <w:t xml:space="preserve">Why this protects the outcome</w:t>
            </w:r>
          </w:p>
          <w:p>
            <w:pPr>
              <w:spacing w:after="0"/>
            </w:pPr>
            <w:r>
              <w:rPr>
                <w:color w:val="1F2937"/>
                <w:sz w:val="19"/>
                <w:szCs w:val="19"/>
              </w:rPr>
              <w:t xml:space="preserve">A mediated family settlement is only as strong as the consent behind it. Screening, full disclosure, reality-testing and a clean record are what make the MSA unimpeachable later (coercion or non-disclosure are the usual grounds to undo it). The platform's job is to make the right process the easy process.</w:t>
            </w:r>
          </w:p>
        </w:tc>
      </w:tr>
    </w:tbl>
    <w:p>
      <w:pPr>
        <w:pStyle w:val="Heading1"/>
      </w:pPr>
      <w:r>
        <w:t xml:space="preserve">6. Procedure, Timelines &amp; Decision Trees</w:t>
      </w:r>
    </w:p>
    <w:p>
      <w:pPr>
        <w:pStyle w:val="Heading2"/>
      </w:pPr>
      <w:r>
        <w:t xml:space="preserve">6.1 Consolidated family timelines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Clock</w:t>
            </w:r>
          </w:p>
        </w:tc>
        <w:tc>
          <w:tcPr>
            <w:tcW w:type="dxa" w:w="33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Default</w:t>
            </w:r>
          </w:p>
        </w:tc>
        <w:tc>
          <w:tcPr>
            <w:tcW w:type="dxa" w:w="27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Source</w:t>
            </w:r>
          </w:p>
        </w:tc>
      </w:tr>
      <w:tr>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completion</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120 (+60) days</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Mediation Act 2023</w:t>
            </w:r>
          </w:p>
        </w:tc>
      </w:tr>
      <w:tr>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Mutual-consent: first → second motion</w:t>
            </w:r>
          </w:p>
        </w:tc>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6 months (max 18); waivable</w:t>
            </w:r>
          </w:p>
        </w:tc>
        <w:tc>
          <w:tcPr>
            <w:tcW w:type="dxa" w:w="2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HMA s.13B; Amardeep Singh</w:t>
            </w:r>
          </w:p>
        </w:tc>
      </w:tr>
      <w:tr>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Maintenance — from date of</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Date of application (generally)</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Rajnesh v Neha</w:t>
            </w:r>
          </w:p>
        </w:tc>
      </w:tr>
      <w:tr>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DV interim reliefs</w:t>
            </w:r>
          </w:p>
        </w:tc>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Expeditious (often ~60 days target)</w:t>
            </w:r>
          </w:p>
        </w:tc>
        <w:tc>
          <w:tcPr>
            <w:tcW w:type="dxa" w:w="2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PWDVA practice</w:t>
            </w:r>
          </w:p>
        </w:tc>
      </w:tr>
      <w:tr>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Appeal to High Court</w:t>
            </w:r>
          </w:p>
        </w:tc>
        <w:tc>
          <w:tcPr>
            <w:tcW w:type="dxa" w:w="33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~90 days; heard expeditiously</w:t>
            </w:r>
          </w:p>
        </w:tc>
        <w:tc>
          <w:tcPr>
            <w:tcW w:type="dxa" w:w="27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5"/>
                <w:szCs w:val="15"/>
              </w:rPr>
              <w:t xml:space="preserve">HMA / Family Courts Act</w:t>
            </w:r>
          </w:p>
        </w:tc>
      </w:tr>
      <w:tr>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S.125 maintenance</w:t>
            </w:r>
          </w:p>
        </w:tc>
        <w:tc>
          <w:tcPr>
            <w:tcW w:type="dxa" w:w="33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Summary; quick disposal</w:t>
            </w:r>
          </w:p>
        </w:tc>
        <w:tc>
          <w:tcPr>
            <w:tcW w:type="dxa" w:w="27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5"/>
                <w:szCs w:val="15"/>
              </w:rPr>
              <w:t xml:space="preserve">CrPC/BNSS</w:t>
            </w:r>
          </w:p>
        </w:tc>
      </w:tr>
    </w:tbl>
    <w:p>
      <w:pPr>
        <w:spacing w:after="80"/>
      </w:pPr>
      <w:r>
        <w:t xml:space="preserve"/>
      </w:r>
    </w:p>
    <w:p>
      <w:pPr>
        <w:pStyle w:val="Heading2"/>
      </w:pPr>
      <w:r>
        <w:t xml:space="preserve">6.2 Decision tree — choosing the route</w:t>
      </w:r>
    </w:p>
    <w:p>
      <w:pPr>
        <w:pStyle w:val="ListParagraph"/>
        <w:numPr>
          <w:ilvl w:val="0"/>
          <w:numId w:val="2"/>
        </w:numPr>
        <w:spacing w:after="60" w:line="268"/>
      </w:pPr>
      <w:r>
        <w:t xml:space="preserve">Is the marital STATUS to be changed (divorce/separation)? → Court decides status; mediate the terms.</w:t>
      </w:r>
    </w:p>
    <w:p>
      <w:pPr>
        <w:pStyle w:val="ListParagraph"/>
        <w:numPr>
          <w:ilvl w:val="0"/>
          <w:numId w:val="2"/>
        </w:numPr>
        <w:spacing w:after="60" w:line="268"/>
      </w:pPr>
      <w:r>
        <w:t xml:space="preserve">Are CHILDREN involved? → Welfare jurisdiction; build a parenting plan in mediation; never arbitrate custody.</w:t>
      </w:r>
    </w:p>
    <w:p>
      <w:pPr>
        <w:pStyle w:val="ListParagraph"/>
        <w:numPr>
          <w:ilvl w:val="0"/>
          <w:numId w:val="2"/>
        </w:numPr>
        <w:spacing w:after="60" w:line="268"/>
      </w:pPr>
      <w:r>
        <w:t xml:space="preserve">Is the issue purely FINANCIAL (alimony/property/streedhan) and both consent? → Mediation; arbitration of the financial strand is available.</w:t>
      </w:r>
    </w:p>
    <w:p>
      <w:pPr>
        <w:pStyle w:val="ListParagraph"/>
        <w:numPr>
          <w:ilvl w:val="0"/>
          <w:numId w:val="2"/>
        </w:numPr>
        <w:spacing w:after="60" w:line="268"/>
      </w:pPr>
      <w:r>
        <w:t xml:space="preserve">Is there SAFETY / DV / criminal (498A) content? → Screen; route criminal/penal strand to the correct forum; mediate only lawful civil strands with safeguards.</w:t>
      </w:r>
    </w:p>
    <w:p>
      <w:pPr>
        <w:pStyle w:val="ListParagraph"/>
        <w:numPr>
          <w:ilvl w:val="0"/>
          <w:numId w:val="2"/>
        </w:numPr>
        <w:spacing w:after="60" w:line="268"/>
      </w:pPr>
      <w:r>
        <w:t xml:space="preserve">Is RECONCILIATION viable? → Reconciliation-focused mediation; consider RCR/judicial-separation terms.</w:t>
      </w:r>
    </w:p>
    <w:p>
      <w:pPr>
        <w:spacing w:after="80"/>
      </w:pPr>
      <w:r>
        <w:t xml:space="preserve"/>
      </w:r>
    </w:p>
    <w:p>
      <w:pPr>
        <w:pStyle w:val="Heading2"/>
      </w:pPr>
      <w:r>
        <w:t xml:space="preserve">6.3 Remedies quick-reference (both sides)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Issue</w:t>
            </w:r>
          </w:p>
        </w:tc>
        <w:tc>
          <w:tcPr>
            <w:tcW w:type="dxa" w:w="38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Wife-side remedies</w:t>
            </w:r>
          </w:p>
        </w:tc>
        <w:tc>
          <w:tcPr>
            <w:tcW w:type="dxa" w:w="388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Husband-side remedies / positions</w:t>
            </w:r>
          </w:p>
        </w:tc>
      </w:tr>
      <w:tr>
        <w:tc>
          <w:tcPr>
            <w:tcW w:type="dxa" w:w="1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Status</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Divorce/JS on grounds or consent</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Same; or defend; seek consent terms</w:t>
            </w:r>
          </w:p>
        </w:tc>
      </w:tr>
      <w:tr>
        <w:tc>
          <w:tcPr>
            <w:tcW w:type="dxa" w:w="1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Maintenance</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HMA 24/25, S.125, DV s.20</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Fair quantum; set-off; wife's earning capacity</w:t>
            </w:r>
          </w:p>
        </w:tc>
      </w:tr>
      <w:tr>
        <w:tc>
          <w:tcPr>
            <w:tcW w:type="dxa" w:w="1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Custody</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Custody + child support (welfare)</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Joint custody / structured access; provision</w:t>
            </w:r>
          </w:p>
        </w:tc>
      </w:tr>
      <w:tr>
        <w:tc>
          <w:tcPr>
            <w:tcW w:type="dxa" w:w="1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Residence</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DV residence order; shared household</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Defend dispossession claims; propose alternatives</w:t>
            </w:r>
          </w:p>
        </w:tc>
      </w:tr>
      <w:tr>
        <w:tc>
          <w:tcPr>
            <w:tcW w:type="dxa" w:w="16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Property</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Streedhan return; settlement</w:t>
            </w:r>
          </w:p>
        </w:tc>
        <w:tc>
          <w:tcPr>
            <w:tcW w:type="dxa" w:w="388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Title-based defence; lump-sum clean break</w:t>
            </w:r>
          </w:p>
        </w:tc>
      </w:tr>
      <w:tr>
        <w:tc>
          <w:tcPr>
            <w:tcW w:type="dxa" w:w="16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Protection</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DV protection; 498A (criminal)</w:t>
            </w:r>
          </w:p>
        </w:tc>
        <w:tc>
          <w:tcPr>
            <w:tcW w:type="dxa" w:w="388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Arnesh Kumar safeguards; quashing of false cases</w:t>
            </w:r>
          </w:p>
        </w:tc>
      </w:tr>
    </w:tbl>
    <w:p>
      <w:pPr>
        <w:pStyle w:val="Heading1"/>
      </w:pPr>
      <w:r>
        <w:t xml:space="preserve">7. Leading Case Law (apply current authority)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Authority</w:t>
            </w:r>
          </w:p>
        </w:tc>
        <w:tc>
          <w:tcPr>
            <w:tcW w:type="dxa" w:w="63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Proposition (as commonly applied)</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Rajnesh v Neha (2020)</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Affidavit of Disclosure mandatory; overlapping-jurisdiction set-off; maintenance from date of application; quantum factors; joint parenting noted as beneficial.</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Amardeep Singh v Harveen Kaur (2017)</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6-month cooling-off in mutual-consent divorce is directory; can be waived in deserving cases.</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Arnesh Kumar v State of Bihar (2014)</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Safeguards against automatic arrest in 498A / offences ≤ 7 years; police to justify arrest.</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Vidya Drolia v Durga Trading (2020)</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Fourfold test for non-arbitrability; rights in rem and welfare/status matters are non-arbitrable.</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Booz Allen v SBI Home Finance (2011)</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Rights in rem non-arbitrable; subordinate rights in personam arbitrable.</w:t>
            </w:r>
          </w:p>
        </w:tc>
      </w:tr>
      <w:tr>
        <w:tc>
          <w:tcPr>
            <w:tcW w:type="dxa" w:w="30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Gian Singh / B.S. Joshi (line)</w:t>
            </w:r>
          </w:p>
        </w:tc>
        <w:tc>
          <w:tcPr>
            <w:tcW w:type="dxa" w:w="63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High Court may quash criminal matrimonial proceedings on genuine settlement (case-specific).</w:t>
            </w:r>
          </w:p>
        </w:tc>
      </w:tr>
      <w:tr>
        <w:tc>
          <w:tcPr>
            <w:tcW w:type="dxa" w:w="30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Shilpa Sailesh v Varun Sreenivasan (2023)</w:t>
            </w:r>
          </w:p>
        </w:tc>
        <w:tc>
          <w:tcPr>
            <w:tcW w:type="dxa" w:w="63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Supreme Court may dissolve marriage on irretrievable breakdown under Art.142; waive cooling-off.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8" w:sz="1"/>
              <w:left w:val="single" w:color="0E7C7B" w:sz="24"/>
              <w:bottom w:val="single" w:color="EAF2F8" w:sz="1"/>
              <w:right w:val="single" w:color="EAF2F8" w:sz="1"/>
            </w:tcBorders>
            <w:shd w:fill="EAF2F8" w:val="clear"/>
            <w:tcMar>
              <w:top w:type="dxa" w:w="120"/>
              <w:left w:type="dxa" w:w="160"/>
              <w:bottom w:type="dxa" w:w="120"/>
              <w:right w:type="dxa" w:w="160"/>
            </w:tcMar>
          </w:tcPr>
          <w:p>
            <w:pPr>
              <w:spacing w:after="60"/>
            </w:pPr>
            <w:r>
              <w:rPr>
                <w:b/>
                <w:bCs/>
                <w:color w:val="0B2A4A"/>
                <w:sz w:val="20"/>
                <w:szCs w:val="20"/>
              </w:rPr>
              <w:t xml:space="preserve">Maintenance: the platform must track authority</w:t>
            </w:r>
          </w:p>
          <w:p>
            <w:pPr>
              <w:spacing w:after="0"/>
            </w:pPr>
            <w:r>
              <w:rPr>
                <w:color w:val="1F2937"/>
                <w:sz w:val="19"/>
                <w:szCs w:val="19"/>
              </w:rPr>
              <w:t xml:space="preserve">Because maintenance practice is governed by Supreme Court guidelines that lower courts must follow (the Court has even re-circulated Rajnesh v Neha for non-compliance), the platform should tag the maintenance ruleset to its governing authority and date, so updates are deliberate and auditable (Architecture §19.5 ruleset versioning).</w:t>
            </w:r>
          </w:p>
        </w:tc>
      </w:tr>
    </w:tbl>
    <w:p>
      <w:pPr>
        <w:pStyle w:val="Heading1"/>
      </w:pPr>
      <w:r>
        <w:t xml:space="preserve">8. Global Comparison (for expansion)</w:t>
      </w:r>
    </w:p>
    <w:p>
      <w:pPr>
        <w:spacing w:after="140" w:line="276"/>
      </w:pPr>
      <w:r>
        <w:t xml:space="preserve">As Equator architects for expansion, family-ADR models elsewhere are instructive. The pattern is the same everywhere: status and child-welfare stay close to the court, while finances are increasingly arbitrable, and mediated settlements are made enforceable.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460"/>
      </w:tblGrid>
      <w:tr>
        <w:trPr>
          <w:tblHeader/>
        </w:trPr>
        <w:tc>
          <w:tcPr>
            <w:tcW w:type="dxa" w:w="17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Jurisdiction</w:t>
            </w:r>
          </w:p>
        </w:tc>
        <w:tc>
          <w:tcPr>
            <w:tcW w:type="dxa" w:w="4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Family-ADR model</w:t>
            </w:r>
          </w:p>
        </w:tc>
        <w:tc>
          <w:tcPr>
            <w:tcW w:type="dxa" w:w="34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5"/>
                <w:szCs w:val="15"/>
              </w:rPr>
              <w:t xml:space="preserve">Note</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India</w:t>
            </w:r>
          </w:p>
        </w:tc>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Mediation of all issues; arbitration of finances; court for status/custody</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Mediation Act 2023; welfare principle</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England &amp; Wales</w:t>
            </w:r>
          </w:p>
        </w:tc>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IFLA family arbitration — Financial Scheme (2012) &amp; Children Scheme (2016)</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Trained accredited arbitrators; court approval/challenge routes</w:t>
            </w:r>
          </w:p>
        </w:tc>
      </w:tr>
      <w:tr>
        <w:tc>
          <w:tcPr>
            <w:tcW w:type="dxa" w:w="17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Singapore</w:t>
            </w:r>
          </w:p>
        </w:tc>
        <w:tc>
          <w:tcPr>
            <w:tcW w:type="dxa" w:w="4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Arb-Med-Arb (SIAC/SIMC) for commercial; family mediation emphasised</w:t>
            </w:r>
          </w:p>
        </w:tc>
        <w:tc>
          <w:tcPr>
            <w:tcW w:type="dxa" w:w="34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Settlements recorded as enforceable consent awards</w:t>
            </w:r>
          </w:p>
        </w:tc>
      </w:tr>
      <w:tr>
        <w:tc>
          <w:tcPr>
            <w:tcW w:type="dxa" w:w="17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UAE / others</w:t>
            </w:r>
          </w:p>
        </w:tc>
        <w:tc>
          <w:tcPr>
            <w:tcW w:type="dxa" w:w="4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Growing institutional mediation; personal-status courts retain status</w:t>
            </w:r>
          </w:p>
        </w:tc>
        <w:tc>
          <w:tcPr>
            <w:tcW w:type="dxa" w:w="34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Confirm per jurisdiction ruleset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3F1F0" w:sz="1"/>
              <w:left w:val="single" w:color="0E7C7B" w:sz="24"/>
              <w:bottom w:val="single" w:color="E3F1F0" w:sz="1"/>
              <w:right w:val="single" w:color="E3F1F0" w:sz="1"/>
            </w:tcBorders>
            <w:shd w:fill="E3F1F0" w:val="clear"/>
            <w:tcMar>
              <w:top w:type="dxa" w:w="120"/>
              <w:left w:type="dxa" w:w="160"/>
              <w:bottom w:type="dxa" w:w="120"/>
              <w:right w:type="dxa" w:w="160"/>
            </w:tcMar>
          </w:tcPr>
          <w:p>
            <w:pPr>
              <w:spacing w:after="60"/>
            </w:pPr>
            <w:r>
              <w:rPr>
                <w:b/>
                <w:bCs/>
                <w:color w:val="0B2A4A"/>
                <w:sz w:val="20"/>
                <w:szCs w:val="20"/>
              </w:rPr>
              <w:t xml:space="preserve">Design takeaway</w:t>
            </w:r>
          </w:p>
          <w:p>
            <w:pPr>
              <w:spacing w:after="0"/>
            </w:pPr>
            <w:r>
              <w:rPr>
                <w:color w:val="1F2937"/>
                <w:sz w:val="19"/>
                <w:szCs w:val="19"/>
              </w:rPr>
              <w:t xml:space="preserve">Keep the family engine ruleset-driven: which issues are arbitrable, the parenting-plan template, disclosure requirements, cooling-off rules and enforcement path all live in the jurisdiction ruleset. India ships first; England &amp; Wales (IFLA) and Singapore become additional rulesets, not rebuilds.</w:t>
            </w:r>
          </w:p>
        </w:tc>
      </w:tr>
    </w:tbl>
    <w:p>
      <w:pPr>
        <w:pStyle w:val="Heading1"/>
      </w:pPr>
      <w:r>
        <w:t xml:space="preserve">9. Build Hand-off (for the IT team)</w:t>
      </w:r>
    </w:p>
    <w:p>
      <w:pPr>
        <w:spacing w:after="140" w:line="276"/>
      </w:pPr>
      <w:r>
        <w:t xml:space="preserve">The new reference data and forms this Playbook implies are added to the Forms &amp; Database Specification (tabs 4c/4d already carry the cross-pillar versions; the family-specific additions below extend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Artefact</w:t>
            </w:r>
          </w:p>
        </w:tc>
        <w:tc>
          <w:tcPr>
            <w:tcW w:type="dxa" w:w="6160"/>
            <w:tcBorders>
              <w:top w:val="single" w:color="CFD8E3" w:sz="1"/>
              <w:left w:val="single" w:color="CFD8E3" w:sz="1"/>
              <w:bottom w:val="single" w:color="CFD8E3" w:sz="1"/>
              <w:right w:val="single" w:color="CFD8E3" w:sz="1"/>
            </w:tcBorders>
            <w:shd w:fill="0B2A4A" w:val="clear"/>
            <w:tcMar>
              <w:top w:type="dxa" w:w="60"/>
              <w:left w:type="dxa" w:w="100"/>
              <w:bottom w:type="dxa" w:w="60"/>
              <w:right w:type="dxa" w:w="100"/>
            </w:tcMar>
            <w:vAlign w:val="center"/>
          </w:tcPr>
          <w:p>
            <w:pPr>
              <w:spacing w:after="0"/>
            </w:pPr>
            <w:r>
              <w:rPr>
                <w:b/>
                <w:bCs/>
                <w:color w:val="FFFFFF"/>
                <w:sz w:val="16"/>
                <w:szCs w:val="16"/>
              </w:rPr>
              <w:t xml:space="preserve">What it adds</w:t>
            </w:r>
          </w:p>
        </w:tc>
      </w:tr>
      <w:tr>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forum_catalogue</w:t>
            </w:r>
          </w:p>
        </w:tc>
        <w:tc>
          <w:tcPr>
            <w:tcW w:type="dxa" w:w="6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Forums/avenues with nature, invoked-by, appeal route</w:t>
            </w:r>
          </w:p>
        </w:tc>
      </w:tr>
      <w:tr>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case_subtype (family)</w:t>
            </w:r>
          </w:p>
        </w:tc>
        <w:tc>
          <w:tcPr>
            <w:tcW w:type="dxa" w:w="6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FAM_* subtypes incl. RCR, judicial separation, DV strands</w:t>
            </w:r>
          </w:p>
        </w:tc>
      </w:tr>
      <w:tr>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scenario_patterns</w:t>
            </w:r>
          </w:p>
        </w:tc>
        <w:tc>
          <w:tcPr>
            <w:tcW w:type="dxa" w:w="6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S1–S10 social patterns → triage &amp; workspace pre-config</w:t>
            </w:r>
          </w:p>
        </w:tc>
      </w:tr>
      <w:tr>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position_catalogue</w:t>
            </w:r>
          </w:p>
        </w:tc>
        <w:tc>
          <w:tcPr>
            <w:tcW w:type="dxa" w:w="6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Wife-side / husband-side positions per issue (balanced)</w:t>
            </w:r>
          </w:p>
        </w:tc>
      </w:tr>
      <w:tr>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PF — Family Disclosure (affidavit)</w:t>
            </w:r>
          </w:p>
        </w:tc>
        <w:tc>
          <w:tcPr>
            <w:tcW w:type="dxa" w:w="6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Rajnesh v Neha asset/income disclosure fields</w:t>
            </w:r>
          </w:p>
        </w:tc>
      </w:tr>
      <w:tr>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maintenance_worksheet</w:t>
            </w:r>
          </w:p>
        </w:tc>
        <w:tc>
          <w:tcPr>
            <w:tcW w:type="dxa" w:w="6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Needs/means inputs + assumptions log</w:t>
            </w:r>
          </w:p>
        </w:tc>
      </w:tr>
      <w:tr>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PF6 Parenting Plan</w:t>
            </w:r>
          </w:p>
        </w:tc>
        <w:tc>
          <w:tcPr>
            <w:tcW w:type="dxa" w:w="6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Custody, access schedule, schooling, relocation, review</w:t>
            </w:r>
          </w:p>
        </w:tc>
      </w:tr>
      <w:tr>
        <w:tc>
          <w:tcPr>
            <w:tcW w:type="dxa" w:w="320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safety_screening</w:t>
            </w:r>
          </w:p>
        </w:tc>
        <w:tc>
          <w:tcPr>
            <w:tcW w:type="dxa" w:w="6160"/>
            <w:tcBorders>
              <w:top w:val="single" w:color="CFD8E3" w:sz="1"/>
              <w:left w:val="single" w:color="CFD8E3" w:sz="1"/>
              <w:bottom w:val="single" w:color="CFD8E3" w:sz="1"/>
              <w:right w:val="single" w:color="CFD8E3" w:sz="1"/>
            </w:tcBorders>
            <w:shd w:fill="F2F6FA" w:val="clear"/>
            <w:tcMar>
              <w:top w:type="dxa" w:w="60"/>
              <w:left w:type="dxa" w:w="100"/>
              <w:bottom w:type="dxa" w:w="60"/>
              <w:right w:type="dxa" w:w="100"/>
            </w:tcMar>
            <w:vAlign w:val="center"/>
          </w:tcPr>
          <w:p>
            <w:pPr>
              <w:spacing w:after="0"/>
            </w:pPr>
            <w:r>
              <w:rPr>
                <w:b w:val="false"/>
                <w:bCs w:val="false"/>
                <w:color w:val="1F2937"/>
                <w:sz w:val="14"/>
                <w:szCs w:val="14"/>
              </w:rPr>
              <w:t xml:space="preserve">DV/power-imbalance screen; controls caucus-only flow</w:t>
            </w:r>
          </w:p>
        </w:tc>
      </w:tr>
      <w:tr>
        <w:tc>
          <w:tcPr>
            <w:tcW w:type="dxa" w:w="320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non_arbitrable / non_settleable_offence flags</w:t>
            </w:r>
          </w:p>
        </w:tc>
        <w:tc>
          <w:tcPr>
            <w:tcW w:type="dxa" w:w="6160"/>
            <w:tcBorders>
              <w:top w:val="single" w:color="CFD8E3" w:sz="1"/>
              <w:left w:val="single" w:color="CFD8E3" w:sz="1"/>
              <w:bottom w:val="single" w:color="CFD8E3" w:sz="1"/>
              <w:right w:val="single" w:color="CFD8E3" w:sz="1"/>
            </w:tcBorders>
            <w:shd w:fill="FFFFFF" w:val="clear"/>
            <w:tcMar>
              <w:top w:type="dxa" w:w="60"/>
              <w:left w:type="dxa" w:w="100"/>
              <w:bottom w:type="dxa" w:w="60"/>
              <w:right w:type="dxa" w:w="100"/>
            </w:tcMar>
            <w:vAlign w:val="center"/>
          </w:tcPr>
          <w:p>
            <w:pPr>
              <w:spacing w:after="0"/>
            </w:pPr>
            <w:r>
              <w:rPr>
                <w:b w:val="false"/>
                <w:bCs w:val="false"/>
                <w:color w:val="1F2937"/>
                <w:sz w:val="14"/>
                <w:szCs w:val="14"/>
              </w:rPr>
              <w:t xml:space="preserve">Enforce red lines at intake</w:t>
            </w:r>
          </w:p>
        </w:tc>
      </w:tr>
    </w:tbl>
    <w:p>
      <w:pPr>
        <w:spacing w:after="80"/>
      </w:pPr>
      <w:r>
        <w:t xml:space="preserve"/>
      </w:r>
    </w:p>
    <w:p>
      <w:pPr>
        <w:pStyle w:val="Heading2"/>
      </w:pPr>
      <w:r>
        <w:t xml:space="preserve">9.1 Document end &amp; sources</w:t>
      </w:r>
    </w:p>
    <w:p>
      <w:pPr>
        <w:pStyle w:val="ListParagraph"/>
        <w:numPr>
          <w:ilvl w:val="0"/>
          <w:numId w:val="3"/>
        </w:numPr>
        <w:spacing w:after="60" w:line="268"/>
      </w:pPr>
      <w:hyperlink w:history="1" r:id="rIdyyukowkd8nhdebebvgj0n">
        <w:r>
          <w:rPr>
            <w:rStyle w:val="Hyperlink"/>
            <w:sz w:val="18"/>
            <w:szCs w:val="18"/>
          </w:rPr>
          <w:t xml:space="preserve">Rajnesh v Neha (2020) — judgment</w:t>
        </w:r>
      </w:hyperlink>
    </w:p>
    <w:p>
      <w:pPr>
        <w:pStyle w:val="ListParagraph"/>
        <w:numPr>
          <w:ilvl w:val="0"/>
          <w:numId w:val="3"/>
        </w:numPr>
        <w:spacing w:after="60" w:line="268"/>
      </w:pPr>
      <w:hyperlink w:history="1" r:id="rIdw7mzl9nt28uamqhukmdes">
        <w:r>
          <w:rPr>
            <w:rStyle w:val="Hyperlink"/>
            <w:sz w:val="18"/>
            <w:szCs w:val="18"/>
          </w:rPr>
          <w:t xml:space="preserve">Vidya Drolia v Durga Trading (arbitrability fourfold test)</w:t>
        </w:r>
      </w:hyperlink>
    </w:p>
    <w:p>
      <w:pPr>
        <w:pStyle w:val="ListParagraph"/>
        <w:numPr>
          <w:ilvl w:val="0"/>
          <w:numId w:val="3"/>
        </w:numPr>
        <w:spacing w:after="60" w:line="268"/>
      </w:pPr>
      <w:hyperlink w:history="1" r:id="rIdjb29hp1w47ap5hpkhdccj">
        <w:r>
          <w:rPr>
            <w:rStyle w:val="Hyperlink"/>
            <w:sz w:val="18"/>
            <w:szCs w:val="18"/>
          </w:rPr>
          <w:t xml:space="preserve">PWDVA / DV Act remedies (overview)</w:t>
        </w:r>
      </w:hyperlink>
    </w:p>
    <w:p>
      <w:pPr>
        <w:pStyle w:val="ListParagraph"/>
        <w:numPr>
          <w:ilvl w:val="0"/>
          <w:numId w:val="3"/>
        </w:numPr>
        <w:spacing w:after="60" w:line="268"/>
      </w:pPr>
      <w:hyperlink w:history="1" r:id="rIdse1w1gnxdqhlbnsiltvbj">
        <w:r>
          <w:rPr>
            <w:rStyle w:val="Hyperlink"/>
            <w:sz w:val="18"/>
            <w:szCs w:val="18"/>
          </w:rPr>
          <w:t xml:space="preserve">IFLA Family Law Arbitration Scheme (England &amp; Wales)</w:t>
        </w:r>
      </w:hyperlink>
    </w:p>
    <w:p>
      <w:pPr>
        <w:pStyle w:val="ListParagraph"/>
        <w:numPr>
          <w:ilvl w:val="0"/>
          <w:numId w:val="3"/>
        </w:numPr>
        <w:spacing w:after="60" w:line="268"/>
      </w:pPr>
      <w:hyperlink w:history="1" r:id="rId-wegcmgyw_gfp74sryt7y">
        <w:r>
          <w:rPr>
            <w:rStyle w:val="Hyperlink"/>
            <w:sz w:val="18"/>
            <w:szCs w:val="18"/>
          </w:rPr>
          <w:t xml:space="preserve">SIMC Arb-Med-Arb (Singapore)</w:t>
        </w:r>
      </w:hyperlink>
    </w:p>
    <w:p>
      <w:pPr>
        <w:pStyle w:val="ListParagraph"/>
        <w:numPr>
          <w:ilvl w:val="0"/>
          <w:numId w:val="3"/>
        </w:numPr>
        <w:spacing w:after="60" w:line="268"/>
      </w:pPr>
      <w:hyperlink w:history="1" r:id="rIdz2cqwrni7jsksr45oqaid">
        <w:r>
          <w:rPr>
            <w:rStyle w:val="Hyperlink"/>
            <w:sz w:val="18"/>
            <w:szCs w:val="18"/>
          </w:rPr>
          <w:t xml:space="preserve">The Mediation Act, 2023 (full text)</w:t>
        </w:r>
      </w:hyperlink>
    </w:p>
    <w:p>
      <w:pPr>
        <w:spacing w:after="80"/>
      </w:pPr>
      <w:r>
        <w:t xml:space="preserve"/>
      </w:r>
    </w:p>
    <w:p>
      <w:pPr>
        <w:spacing w:after="140" w:line="276"/>
      </w:pPr>
      <w:r>
        <w:rPr>
          <w:i/>
          <w:iCs/>
          <w:color w:val="6B7280"/>
        </w:rPr>
        <w:t xml:space="preserve">End of DOC-07 v1.0. Balanced, India-focused family-dispute reference for legal and IT teams. Keep authorities current in the platform rulesets via qualified counsel; all numbers are configurable defaults.</w:t>
      </w:r>
    </w:p>
    <w:sectPr>
      <w:headerReference w:type="default" r:id="rId7"/>
      <w:footerReference w:type="default" r:id="rId8"/>
      <w:pgSz w:w="12240" w:h="15840" w:orient="portrait"/>
      <w:pgMar w:top="1180" w:right="1320" w:bottom="11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0EA" w:sz="4" w:space="4"/>
      </w:pBdr>
      <w:spacing w:before="60"/>
      <w:jc w:val="center"/>
    </w:pPr>
    <w:r>
      <w:rPr>
        <w:color w:val="6B7280"/>
        <w:sz w:val="13"/>
        <w:szCs w:val="13"/>
      </w:rPr>
      <w:t xml:space="preserve">Confidential      Page </w:t>
    </w:r>
    <w:r>
      <w:rPr>
        <w:color w:val="6B7280"/>
        <w:sz w:val="14"/>
        <w:szCs w:val="14"/>
      </w:rPr>
      <w:fldChar w:fldCharType="begin"/>
      <w:instrText xml:space="preserve">PAGE</w:instrText>
      <w:fldChar w:fldCharType="separate"/>
      <w:fldChar w:fldCharType="end"/>
    </w:r>
    <w:r>
      <w:rPr>
        <w:color w:val="6B7280"/>
        <w:sz w:val="13"/>
        <w:szCs w:val="13"/>
      </w:rPr>
      <w:t xml:space="preserve"> of </w:t>
    </w:r>
    <w:r>
      <w:rPr>
        <w:color w:val="6B72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0EA" w:sz="4" w:space="4"/>
      </w:pBdr>
      <w:spacing w:after="80"/>
      <w:jc w:val="right"/>
    </w:pPr>
    <w:r>
      <w:rPr>
        <w:b/>
        <w:bCs/>
        <w:color w:val="0B2A4A"/>
        <w:sz w:val="15"/>
        <w:szCs w:val="15"/>
      </w:rPr>
      <w:t xml:space="preserve">EQUATOR RESOLUTION</w:t>
    </w:r>
    <w:r>
      <w:rPr>
        <w:color w:val="6B7280"/>
        <w:sz w:val="15"/>
        <w:szCs w:val="15"/>
      </w:rPr>
      <w:t xml:space="preserve">   |   Family Disputes Deep-Dive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E7C7B"/>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60" w:before="280"/>
      <w:outlineLvl w:val="0"/>
    </w:pPr>
    <w:rPr>
      <w:rFonts w:ascii="Calibri" w:cs="Calibri" w:eastAsia="Calibri" w:hAnsi="Calibri"/>
      <w:b/>
      <w:bCs/>
      <w:color w:val="0B2A4A"/>
      <w:sz w:val="30"/>
      <w:szCs w:val="30"/>
    </w:rPr>
  </w:style>
  <w:style w:type="paragraph" w:styleId="Heading2">
    <w:name w:val="Heading 2"/>
    <w:basedOn w:val="Normal"/>
    <w:next w:val="Normal"/>
    <w:qFormat/>
    <w:pPr>
      <w:spacing w:after="110" w:before="220"/>
      <w:outlineLvl w:val="1"/>
    </w:pPr>
    <w:rPr>
      <w:rFonts w:ascii="Calibri" w:cs="Calibri" w:eastAsia="Calibri" w:hAnsi="Calibri"/>
      <w:b/>
      <w:bCs/>
      <w:color w:val="12477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0E7C7B"/>
      <w:sz w:val="22"/>
      <w:szCs w:val="22"/>
    </w:rPr>
  </w:style>
  <w:style w:type="paragraph" w:styleId="Hyperlink">
    <w:name w:val="Hyperlink"/>
    <w:basedOn w:val="Normal"/>
    <w:rPr>
      <w:color w:val="1F6FB2"/>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yukowkd8nhdebebvgj0n" Type="http://schemas.openxmlformats.org/officeDocument/2006/relationships/hyperlink" Target="https://indiankanoon.org/doc/117541087/" TargetMode="External"/><Relationship Id="rIdw7mzl9nt28uamqhukmdes" Type="http://schemas.openxmlformats.org/officeDocument/2006/relationships/hyperlink" Target="https://ksandk.com/adr/vidya-drolia-and-the-four-fold-test/" TargetMode="External"/><Relationship Id="rIdjb29hp1w47ap5hpkhdccj" Type="http://schemas.openxmlformats.org/officeDocument/2006/relationships/hyperlink" Target="https://www.legalserviceindia.com/Legal-Articles/498a-vs-domestic-violence-case-difference-india/" TargetMode="External"/><Relationship Id="rIdse1w1gnxdqhlbnsiltvbj" Type="http://schemas.openxmlformats.org/officeDocument/2006/relationships/hyperlink" Target="https://ifla.org.uk/what-is-arbitration/" TargetMode="External"/><Relationship Id="rId-wegcmgyw_gfp74sryt7y" Type="http://schemas.openxmlformats.org/officeDocument/2006/relationships/hyperlink" Target="https://simc.com.sg/arb-med-arb" TargetMode="External"/><Relationship Id="rIdz2cqwrni7jsksr45oqaid" Type="http://schemas.openxmlformats.org/officeDocument/2006/relationships/hyperlink" Target="https://legalaffairs.gov.in/sites/default/files/MediationAct2023.pdf" TargetMode="Externa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&amp; Matrimonial Disputes — Deep-Dive Playbook</dc:title>
  <dc:creator>Equator Resolution</dc:creator>
  <cp:lastModifiedBy>Un-named</cp:lastModifiedBy>
  <cp:revision>1</cp:revision>
  <dcterms:created xsi:type="dcterms:W3CDTF">2026-06-26T07:53:18.852Z</dcterms:created>
  <dcterms:modified xsi:type="dcterms:W3CDTF">2026-06-26T07:53:18.852Z</dcterms:modified>
</cp:coreProperties>
</file>

<file path=docProps/custom.xml><?xml version="1.0" encoding="utf-8"?>
<Properties xmlns="http://schemas.openxmlformats.org/officeDocument/2006/custom-properties" xmlns:vt="http://schemas.openxmlformats.org/officeDocument/2006/docPropsVTypes"/>
</file>