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</w:p>
    <w:p>
      <w:pPr>
        <w:spacing w:after="30"/>
        <w:jc w:val="center"/>
      </w:pPr>
      <w:r>
        <w:rPr>
          <w:b/>
          <w:bCs/>
          <w:color w:val="0B2A4A"/>
          <w:sz w:val="48"/>
          <w:szCs w:val="48"/>
        </w:rPr>
        <w:t xml:space="preserve">EQUATOR RESOLUTION</w:t>
      </w:r>
    </w:p>
    <w:p>
      <w:pPr>
        <w:pBdr>
          <w:bottom w:val="single" w:color="0E7C7B" w:sz="12" w:space="6"/>
        </w:pBdr>
        <w:spacing w:after="220"/>
        <w:jc w:val="center"/>
      </w:pPr>
      <w:r>
        <w:rPr>
          <w:sz w:val="2"/>
          <w:szCs w:val="2"/>
        </w:rPr>
        <w:t xml:space="preserve"/>
      </w:r>
    </w:p>
    <w:p>
      <w:pPr>
        <w:spacing w:after="22"/>
        <w:jc w:val="center"/>
      </w:pPr>
      <w:r>
        <w:rPr>
          <w:b/>
          <w:bCs/>
          <w:color w:val="1F2937"/>
          <w:sz w:val="38"/>
          <w:szCs w:val="38"/>
        </w:rPr>
        <w:t xml:space="preserve">Non-Functional Requirements &amp; Operations Pack</w:t>
      </w:r>
    </w:p>
    <w:p>
      <w:pPr>
        <w:spacing w:after="20"/>
        <w:jc w:val="center"/>
      </w:pPr>
      <w:r>
        <w:rPr>
          <w:color w:val="6B7280"/>
          <w:sz w:val="22"/>
          <w:szCs w:val="22"/>
        </w:rPr>
        <w:t xml:space="preserve">SLAs/SLOs &amp; error budgets · capacity model · DR runbook · observability · integration contracts</w:t>
      </w:r>
    </w:p>
    <w:p>
      <w:pPr>
        <w:spacing w:after="480"/>
        <w:jc w:val="center"/>
      </w:pPr>
      <w:r>
        <w:rPr>
          <w:color w:val="1F6FB2"/>
          <w:sz w:val="19"/>
          <w:szCs w:val="19"/>
        </w:rPr>
        <w:t xml:space="preserve">Turning ‘it will be reliable and secure’ into ‘here is exactly how, and how we prove it’</w:t>
      </w:r>
    </w:p>
    <w:p>
      <w:pPr>
        <w:spacing w:after="18"/>
        <w:jc w:val="center"/>
      </w:pPr>
      <w:r>
        <w:rPr>
          <w:color w:val="6B7280"/>
          <w:sz w:val="18"/>
          <w:szCs w:val="18"/>
        </w:rPr>
        <w:t xml:space="preserve">Document DOC-12  ·  Version 1.0  ·  June 2026  ·  CONFIDENTIAL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NFR &amp; Operations Pack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Document code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DOC-12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Issued for review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Owner (author)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Founder / Architecture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Reviewer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Engineering &amp; Legal Leadership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Approver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Confidential — Internal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Intended audience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SRE/ops, engineering, architecture, vendor management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Related documents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See Master Index &amp; Reading Guide (DOC-00)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Service Levels (SLA / SLO / Error Budget)</w:t>
      </w:r>
    </w:p>
    <w:p>
      <w:pPr>
        <w:spacing w:after="140" w:line="276"/>
      </w:pPr>
      <w:r>
        <w:t xml:space="preserve">Targets are set per service tier. SLOs are the internal objective; the error budget is the allowed shortfall that governs release 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700"/>
        <w:gridCol w:w="1500"/>
        <w:gridCol w:w="2360"/>
      </w:tblGrid>
      <w:tr>
        <w:trPr>
          <w:tblHeader/>
        </w:trPr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Service tier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Availability SLO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Latency SLO (p95)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Error budget</w:t>
            </w:r>
          </w:p>
        </w:tc>
        <w:tc>
          <w:tcPr>
            <w:tcW w:type="dxa" w:w="2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Examples</w:t>
            </w:r>
          </w:p>
        </w:tc>
      </w:tr>
      <w:tr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Tier 0 — Core case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99.9%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&lt; 400 ms API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0.1%/mo</w:t>
            </w:r>
          </w:p>
        </w:tc>
        <w:tc>
          <w:tcPr>
            <w:tcW w:type="dxa" w:w="2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intake, case, allocation, documents, e-sign</w:t>
            </w:r>
          </w:p>
        </w:tc>
      </w:tr>
      <w:tr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Tier 1 — Engagement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99.5%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&lt; 800 ms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0.5%/mo</w:t>
            </w:r>
          </w:p>
        </w:tc>
        <w:tc>
          <w:tcPr>
            <w:tcW w:type="dxa" w:w="2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notifications, search, dashboards</w:t>
            </w:r>
          </w:p>
        </w:tc>
      </w:tr>
      <w:tr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Tier 2 — Realtime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99.5%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join &lt; 3 s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0.5%/mo</w:t>
            </w:r>
          </w:p>
        </w:tc>
        <w:tc>
          <w:tcPr>
            <w:tcW w:type="dxa" w:w="2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video hearings</w:t>
            </w:r>
          </w:p>
        </w:tc>
      </w:tr>
      <w:tr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Tier 3 — Batch/AI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99.0% (async)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job SLA-based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1%/mo</w:t>
            </w:r>
          </w:p>
        </w:tc>
        <w:tc>
          <w:tcPr>
            <w:tcW w:type="dxa" w:w="2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bulk intake, AI summarisation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F1F0" w:sz="1"/>
              <w:left w:val="single" w:color="0E7C7B" w:sz="24"/>
              <w:bottom w:val="single" w:color="E3F1F0" w:sz="1"/>
              <w:right w:val="single" w:color="E3F1F0" w:sz="1"/>
            </w:tcBorders>
            <w:shd w:fill="E3F1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Recoverability targets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RPO ≤ 15 minutes and RTO ≤ 2 hours for Tier-0 core case services. Statutory-clock integrity is paramount: even during degradation, the compliance_clock and audit must not lose data — they are replicated synchronously where feasible.</w:t>
            </w:r>
          </w:p>
        </w:tc>
      </w:tr>
    </w:tbl>
    <w:p>
      <w:pPr>
        <w:pStyle w:val="Heading1"/>
      </w:pPr>
      <w:r>
        <w:t xml:space="preserve">2. Capacity Model</w:t>
      </w:r>
    </w:p>
    <w:p>
      <w:pPr>
        <w:spacing w:after="140" w:line="276"/>
      </w:pPr>
      <w:r>
        <w:t xml:space="preserve">Indicative load at each growth stage (aligned to the financial model's volume drivers). Sizing is illustrative and to be validated by load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0"/>
        <w:gridCol w:w="1450"/>
        <w:gridCol w:w="1550"/>
        <w:gridCol w:w="1300"/>
        <w:gridCol w:w="2660"/>
      </w:tblGrid>
      <w:tr>
        <w:trPr>
          <w:tblHeader/>
        </w:trPr>
        <w:tc>
          <w:tcPr>
            <w:tcW w:type="dxa" w:w="11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Stage</w:t>
            </w:r>
          </w:p>
        </w:tc>
        <w:tc>
          <w:tcPr>
            <w:tcW w:type="dxa" w:w="12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Cases/yr</w:t>
            </w:r>
          </w:p>
        </w:tc>
        <w:tc>
          <w:tcPr>
            <w:tcW w:type="dxa" w:w="14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Peak writes/s</w:t>
            </w:r>
          </w:p>
        </w:tc>
        <w:tc>
          <w:tcPr>
            <w:tcW w:type="dxa" w:w="1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Bulk rows/day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Video conc.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Sizing note</w:t>
            </w:r>
          </w:p>
        </w:tc>
      </w:tr>
      <w:tr>
        <w:tc>
          <w:tcPr>
            <w:tcW w:type="dxa" w:w="11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Launch</w:t>
            </w:r>
          </w:p>
        </w:tc>
        <w:tc>
          <w:tcPr>
            <w:tcW w:type="dxa" w:w="12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~6.4k</w:t>
            </w:r>
          </w:p>
        </w:tc>
        <w:tc>
          <w:tcPr>
            <w:tcW w:type="dxa" w:w="14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~5</w:t>
            </w:r>
          </w:p>
        </w:tc>
        <w:tc>
          <w:tcPr>
            <w:tcW w:type="dxa" w:w="1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~5k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~50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Single region multi-AZ; small node pool</w:t>
            </w:r>
          </w:p>
        </w:tc>
      </w:tr>
      <w:tr>
        <w:tc>
          <w:tcPr>
            <w:tcW w:type="dxa" w:w="11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Growth</w:t>
            </w:r>
          </w:p>
        </w:tc>
        <w:tc>
          <w:tcPr>
            <w:tcW w:type="dxa" w:w="12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~46k</w:t>
            </w:r>
          </w:p>
        </w:tc>
        <w:tc>
          <w:tcPr>
            <w:tcW w:type="dxa" w:w="14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~30</w:t>
            </w:r>
          </w:p>
        </w:tc>
        <w:tc>
          <w:tcPr>
            <w:tcW w:type="dxa" w:w="1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~50k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~300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Autoscale workers; read replicas</w:t>
            </w:r>
          </w:p>
        </w:tc>
      </w:tr>
      <w:tr>
        <w:tc>
          <w:tcPr>
            <w:tcW w:type="dxa" w:w="11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Scale</w:t>
            </w:r>
          </w:p>
        </w:tc>
        <w:tc>
          <w:tcPr>
            <w:tcW w:type="dxa" w:w="12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~165k+</w:t>
            </w:r>
          </w:p>
        </w:tc>
        <w:tc>
          <w:tcPr>
            <w:tcW w:type="dxa" w:w="14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~120</w:t>
            </w:r>
          </w:p>
        </w:tc>
        <w:tc>
          <w:tcPr>
            <w:tcW w:type="dxa" w:w="1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~200k+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~1,000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Sharded queues; cache tier; CDN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Stateless services scale horizontally (HPA); bulk intake is queue-based with back-pressure and idempotency.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Database: read replicas for query load; partitioning of high-volume tables (cases, case_events, audit_entries).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Hot paths (intake, case, document, notify) split out first as load grows.</w:t>
      </w:r>
    </w:p>
    <w:p>
      <w:pPr>
        <w:pStyle w:val="Heading1"/>
      </w:pPr>
      <w:r>
        <w:t xml:space="preserve">3. Disaster Recovery Runbook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60"/>
        <w:gridCol w:w="2100"/>
      </w:tblGrid>
      <w:tr>
        <w:trPr>
          <w:tblHeader/>
        </w:trP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</w:tc>
        <w:tc>
          <w:tcPr>
            <w:tcW w:type="dxa" w:w="5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Action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</w:tr>
      <w:t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1. Detect &amp; declare</w:t>
            </w:r>
          </w:p>
        </w:tc>
        <w:tc>
          <w:tcPr>
            <w:tcW w:type="dxa" w:w="5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Health checks/alerts; declare DR; assign incident commander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&lt; 10 min</w:t>
            </w:r>
          </w:p>
        </w:tc>
      </w:tr>
      <w:t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2. Failover data</w:t>
            </w:r>
          </w:p>
        </w:tc>
        <w:tc>
          <w:tcPr>
            <w:tcW w:type="dxa" w:w="5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Promote standby DB (DR region); verify integrity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RPO ≤ 15 min</w:t>
            </w:r>
          </w:p>
        </w:tc>
      </w:tr>
      <w:t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3. Redirect traffic</w:t>
            </w:r>
          </w:p>
        </w:tc>
        <w:tc>
          <w:tcPr>
            <w:tcW w:type="dxa" w:w="5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Route to DR region; warm services scale up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RTO ≤ 2 h</w:t>
            </w:r>
          </w:p>
        </w:tc>
      </w:tr>
      <w:t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4. Verify</w:t>
            </w:r>
          </w:p>
        </w:tc>
        <w:tc>
          <w:tcPr>
            <w:tcW w:type="dxa" w:w="5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Smoke tests; clock &amp; audit integrity checks; e-sign provider reachability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5. Communicate</w:t>
            </w:r>
          </w:p>
        </w:tc>
        <w:tc>
          <w:tcPr>
            <w:tcW w:type="dxa" w:w="5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Status page; stakeholders; regulator if required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Per policy</w:t>
            </w:r>
          </w:p>
        </w:tc>
      </w:tr>
      <w:t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6. Failback &amp; review</w:t>
            </w:r>
          </w:p>
        </w:tc>
        <w:tc>
          <w:tcPr>
            <w:tcW w:type="dxa" w:w="5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Controlled return to primary; post-incident review; test-case added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DR is tested (game-days) on a defined cadence; restore drills validate PITR; results recorded as evidence (CTRL-012).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Graceful degradation: if video or AI is unavailable, case progress, documents and e-sign remain available.</w:t>
      </w:r>
    </w:p>
    <w:p>
      <w:pPr>
        <w:pStyle w:val="Heading1"/>
      </w:pPr>
      <w:r>
        <w:t xml:space="preserve">4. Observability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What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Tooling pattern</w:t>
            </w:r>
          </w:p>
        </w:tc>
      </w:tr>
      <w:tr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Tracing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Distributed traces; correlation IDs gateway→DB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OpenTelemetry</w:t>
            </w:r>
          </w:p>
        </w:tc>
      </w:tr>
      <w:tr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Metrics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Golden signals per service + business KPIs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Prometheus/Grafana</w:t>
            </w:r>
          </w:p>
        </w:tc>
      </w:tr>
      <w:tr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Logs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Structured, centralised, tier-aware (no PII in logs)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ELK; SIEM feed</w:t>
            </w:r>
          </w:p>
        </w:tc>
      </w:tr>
      <w:tr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Alerts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SLO burn-rate; SLA-clock &amp; compliance-clock risk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Alertmanager/on-call</w:t>
            </w:r>
          </w:p>
        </w:tc>
      </w:tr>
      <w:tr>
        <w:tc>
          <w:tcPr>
            <w:tcW w:type="dxa" w:w="1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Dashboards</w:t>
            </w:r>
          </w:p>
        </w:tc>
        <w:tc>
          <w:tcPr>
            <w:tcW w:type="dxa" w:w="4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Ops health + case throughput + time-to-resolution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Grafana/Metabase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F1F0" w:sz="1"/>
              <w:left w:val="single" w:color="0E7C7B" w:sz="24"/>
              <w:bottom w:val="single" w:color="E3F1F0" w:sz="1"/>
              <w:right w:val="single" w:color="E3F1F0" w:sz="1"/>
            </w:tcBorders>
            <w:shd w:fill="E3F1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Business + legal observability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Beyond infra signals, dashboard the legal clocks: every case approaching its S.29A, 120-day mediation, or 90-day POSH deadline, with escalation before breach. This is both an ops tool and a client-facing assurance (‘we will not let your matter breach a statutory clock’).</w:t>
            </w:r>
          </w:p>
        </w:tc>
      </w:tr>
    </w:tbl>
    <w:p>
      <w:pPr>
        <w:pStyle w:val="Heading1"/>
      </w:pPr>
      <w:r>
        <w:t xml:space="preserve">5. Integration Interface Contracts</w:t>
      </w:r>
    </w:p>
    <w:p>
      <w:pPr>
        <w:spacing w:after="140" w:line="276"/>
      </w:pPr>
      <w:r>
        <w:t xml:space="preserve">Each external dependency is specified as a mini-contract: data exchanged, SLA, failure modes, fallback, and the compliance obligation it satisfies.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1700"/>
        <w:gridCol w:w="1700"/>
        <w:gridCol w:w="1560"/>
      </w:tblGrid>
      <w:tr>
        <w:trPr>
          <w:tblHeader/>
        </w:trPr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Capability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Data exchanged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SLA / mode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Failure → fallback</w:t>
            </w:r>
          </w:p>
        </w:tc>
        <w:tc>
          <w:tcPr>
            <w:tcW w:type="dxa" w:w="1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Compliance role</w:t>
            </w:r>
          </w:p>
        </w:tc>
      </w:tr>
      <w:tr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KYC/KYB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ID/entity refs → verify result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Sync; &lt;5s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Retry → manual review queue</w:t>
            </w:r>
          </w:p>
        </w:tc>
        <w:tc>
          <w:tcPr>
            <w:tcW w:type="dxa" w:w="1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KYC obligation</w:t>
            </w:r>
          </w:p>
        </w:tc>
      </w:tr>
      <w:tr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e-Sign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Doc hash, signer list → signed doc/cert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Sync init; async complete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Retry → alt provider</w:t>
            </w:r>
          </w:p>
        </w:tc>
        <w:tc>
          <w:tcPr>
            <w:tcW w:type="dxa" w:w="1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IT Act validity</w:t>
            </w:r>
          </w:p>
        </w:tc>
      </w:tr>
      <w:tr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e-Stamp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Doc, value → stamp record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Sync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Queue → retry</w:t>
            </w:r>
          </w:p>
        </w:tc>
        <w:tc>
          <w:tcPr>
            <w:tcW w:type="dxa" w:w="1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Stamp duty</w:t>
            </w:r>
          </w:p>
        </w:tc>
      </w:tr>
      <w:tr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Payments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Amount, payer → capture/payout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Sync capture; webhook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Idempotent retry; reconcile</w:t>
            </w:r>
          </w:p>
        </w:tc>
        <w:tc>
          <w:tcPr>
            <w:tcW w:type="dxa" w:w="1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Accounting</w:t>
            </w:r>
          </w:p>
        </w:tc>
      </w:tr>
      <w:tr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Video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Session token → room/recording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Realtime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Degrade to audio/async</w:t>
            </w:r>
          </w:p>
        </w:tc>
        <w:tc>
          <w:tcPr>
            <w:tcW w:type="dxa" w:w="1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Consent-based recording</w:t>
            </w:r>
          </w:p>
        </w:tc>
      </w:tr>
      <w:tr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Notifications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Recipient, template → delivery receipt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Async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Multi-channel fallback</w:t>
            </w:r>
          </w:p>
        </w:tc>
        <w:tc>
          <w:tcPr>
            <w:tcW w:type="dxa" w:w="1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Service of process</w:t>
            </w:r>
          </w:p>
        </w:tc>
      </w:tr>
      <w:tr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RBI/SEBI/SHe-Box interop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Case refs → ack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Async; signed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Queue → retry → alert</w:t>
            </w:r>
          </w:p>
        </w:tc>
        <w:tc>
          <w:tcPr>
            <w:tcW w:type="dxa" w:w="1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Regulatory interop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Every capability has ≥2 interchangeable providers behind an adapter interface (resilience + jurisdiction fit); webhooks are signed and replay-protected.</w:t>
      </w:r>
    </w:p>
    <w:p>
      <w:pPr>
        <w:spacing w:after="80"/>
      </w:pPr>
      <w:r>
        <w:t xml:space="preserve"/>
      </w:r>
    </w:p>
    <w:p>
      <w:pPr>
        <w:spacing w:after="140" w:line="276"/>
      </w:pPr>
      <w:r>
        <w:rPr>
          <w:i/>
          <w:iCs/>
          <w:color w:val="6B7280"/>
        </w:rPr>
        <w:t xml:space="preserve">End of DOC-12 v1.0.</w:t>
      </w:r>
    </w:p>
    <w:sectPr>
      <w:headerReference w:type="default" r:id="rId7"/>
      <w:footerReference w:type="default" r:id="rId8"/>
      <w:pgSz w:w="12240" w:h="15840" w:orient="portrait"/>
      <w:pgMar w:top="1180" w:right="1320" w:bottom="11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0EA" w:sz="4" w:space="4"/>
      </w:pBdr>
      <w:spacing w:before="60"/>
      <w:jc w:val="center"/>
    </w:pPr>
    <w:r>
      <w:rPr>
        <w:color w:val="6B7280"/>
        <w:sz w:val="13"/>
        <w:szCs w:val="13"/>
      </w:rPr>
      <w:t xml:space="preserve">Confidential      Page </w:t>
    </w:r>
    <w:r>
      <w:rPr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3"/>
        <w:szCs w:val="13"/>
      </w:rPr>
      <w:t xml:space="preserve"> of </w:t>
    </w:r>
    <w:r>
      <w:rPr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0EA" w:sz="4" w:space="4"/>
      </w:pBdr>
      <w:spacing w:after="80"/>
      <w:jc w:val="right"/>
    </w:pPr>
    <w:r>
      <w:rPr>
        <w:b/>
        <w:bCs/>
        <w:color w:val="0B2A4A"/>
        <w:sz w:val="15"/>
        <w:szCs w:val="15"/>
      </w:rPr>
      <w:t xml:space="preserve">EQUATOR RESOLUTION</w:t>
    </w:r>
    <w:r>
      <w:rPr>
        <w:color w:val="6B7280"/>
        <w:sz w:val="15"/>
        <w:szCs w:val="15"/>
      </w:rPr>
      <w:t xml:space="preserve">   |   NFR &amp;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7C7B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7B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0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1247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E7C7B"/>
      <w:sz w:val="22"/>
      <w:szCs w:val="22"/>
    </w:rPr>
  </w:style>
  <w:style w:type="paragraph" w:styleId="Hyperlink">
    <w:name w:val="Hyperlink"/>
    <w:basedOn w:val="Normal"/>
    <w:rPr>
      <w:color w:val="1F6FB2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NFR &amp; Operations Pack</dc:title>
  <dc:creator>Equator Resolution</dc:creator>
  <cp:lastModifiedBy>Un-named</cp:lastModifiedBy>
  <cp:revision>1</cp:revision>
  <dcterms:created xsi:type="dcterms:W3CDTF">2026-06-26T06:36:23.388Z</dcterms:created>
  <dcterms:modified xsi:type="dcterms:W3CDTF">2026-06-26T06:36:23.388Z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