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  <w:jc w:val="center"/>
      </w:pPr>
      <w:r>
        <w:rPr>
          <w:b/>
          <w:bCs/>
          <w:color w:val="0B2A4A"/>
          <w:sz w:val="48"/>
          <w:szCs w:val="48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2"/>
        <w:jc w:val="center"/>
      </w:pPr>
      <w:r>
        <w:rPr>
          <w:b/>
          <w:bCs/>
          <w:color w:val="1F2937"/>
          <w:sz w:val="38"/>
          <w:szCs w:val="38"/>
        </w:rPr>
        <w:t xml:space="preserve">Research &amp; Evidence Annex</w:t>
      </w:r>
    </w:p>
    <w:p>
      <w:pPr>
        <w:spacing w:after="20"/>
        <w:jc w:val="center"/>
      </w:pPr>
      <w:r>
        <w:rPr>
          <w:color w:val="6B7280"/>
          <w:sz w:val="22"/>
          <w:szCs w:val="22"/>
        </w:rPr>
        <w:t xml:space="preserve">Every market, legal and competitor claim — with dated source, confidence rating &amp; last-verified date</w:t>
      </w:r>
    </w:p>
    <w:p>
      <w:pPr>
        <w:spacing w:after="480"/>
        <w:jc w:val="center"/>
      </w:pPr>
      <w:r>
        <w:rPr>
          <w:color w:val="1F6FB2"/>
          <w:sz w:val="19"/>
          <w:szCs w:val="19"/>
        </w:rPr>
        <w:t xml:space="preserve">The provenance base for the Equator documentation set</w:t>
      </w:r>
    </w:p>
    <w:p>
      <w:pPr>
        <w:spacing w:after="18"/>
        <w:jc w:val="center"/>
      </w:pPr>
      <w:r>
        <w:rPr>
          <w:color w:val="6B7280"/>
          <w:sz w:val="18"/>
          <w:szCs w:val="18"/>
        </w:rPr>
        <w:t xml:space="preserve">Document DOC-10  ·  Version 1.0  ·  June 2026  · 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Research &amp; Evidence Annex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DOC-10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Issued for review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Owner (author)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 /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Reviewer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Engineering &amp; Legal Leadership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Confidential — Internal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Intended audience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Founders, strategy, investors, legal, audit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See Master Index &amp; Reading Guide (DOC-00)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Method, Confidence &amp; Caveats</w:t>
      </w:r>
    </w:p>
    <w:p>
      <w:pPr>
        <w:spacing w:after="140" w:line="276"/>
      </w:pPr>
      <w:r>
        <w:t xml:space="preserve">This annex underpins the claims used across the Equator pack. Each item carries a confidence rating and a last-verified date so a reader can weigh it and know when to re-check. It is the difference between assertion and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7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7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Primary source (statute, regulator, official portal) or multiple independent corroborations.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7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Reputable secondary source(s); figure varies by definition or is an estimate.</w:t>
            </w:r>
          </w:p>
        </w:tc>
      </w:tr>
      <w:tr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Indicative</w:t>
            </w:r>
          </w:p>
        </w:tc>
        <w:tc>
          <w:tcPr>
            <w:tcW w:type="dxa" w:w="7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Single secondary source or vendor estimate; directional only.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B45309" w:sz="24"/>
              <w:bottom w:val="single" w:color="FFF7ED" w:sz="1"/>
              <w:right w:val="single" w:color="FFF7ED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Market sizes and CAGRs vary widely by definition and source and are treated as directional. Legal timelines and thresholds are current as of mid-2026 and must be re-verified against the live statute and prevailing court practice before reliance. ‘Last verified: Jun 2026’ throughout this build.</w:t>
            </w:r>
          </w:p>
        </w:tc>
      </w:tr>
    </w:tbl>
    <w:p>
      <w:pPr>
        <w:pStyle w:val="Heading1"/>
      </w:pPr>
      <w:r>
        <w:t xml:space="preserve">2. Legal &amp; Regulatory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8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Claim used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Value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Conf.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Mediation completion time-limit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120 (+60) days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Mediation Act 2023, s.18 (India Code)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Online mediation recognised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Yes (s.30)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Mediation Act 2023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Arbitral award time-limit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12 (+6) months from pleadings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A&amp;C Act 1996, s.29A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Challenge to award limitation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3 months + 30 days (absolute)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A&amp;C Act s.34(3); SC jurisprudence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Pre-institution mediation (commercial)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Mandatory if no urgent relief; 3 (+2) months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Commercial Courts Act s.12A; SC/HC rulings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Arbitrability test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Fourfold test; rights in rem non-arbitrable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Vidya Drolia (2020); Booz Allen (2011)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NPA classification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90 days default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RBI norms / SARFAESI practice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SARFAESI 13(2) cure period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60 days; 15-day reply to objection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SARFAESI Act 2002, s.13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DRT pecuniary threshold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₹20 lakh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RDDBFI Act practice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RBI grievance escalation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30 days unresolved → Ombudsman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RBI Integrated Ombudsman Scheme 2021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POSH inquiry completion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90 days (s.11(4))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POSH Act 2013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POSH notice / reply / report / action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7 / 10 / 10 / 60 days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POSH Act &amp; Rules 2013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POSH appeal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90 days (s.18)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POSH Act 2013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Maintenance guidelines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Affidavit of disclosure; from date of application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Rajnesh v Neha (2020) SC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Mutual-consent cooling-off waiver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Permissible in deserving cases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Amardeep Singh v Harveen Kaur (2017)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Lok Adalat award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Final; no appeal; HC writ only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Legal Services Authorities Act; SC (2025)</w:t>
            </w:r>
          </w:p>
        </w:tc>
      </w:tr>
    </w:tbl>
    <w:p>
      <w:pPr>
        <w:pStyle w:val="Heading1"/>
      </w:pPr>
      <w:r>
        <w:t xml:space="preserve">3. Market &amp; Competitor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8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Claim used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Value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Conf.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Legal ODR CAGR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~10–18% to early/mid 2030s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Multiple analyst blogs (definition-dependent)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Broader ODR market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~USD 2.5bn (2025) → ~4.6bn (2032)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Indicative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Vendor/analyst estimate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AI in ODR platforms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~44% use AI negotiation tools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Indicative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Industry summary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Blockchain in ODR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~39% integrate for integrity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Indicative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Industry summary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SAMA scale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35 lakh+ cases; 3,000+ neutrals; 500+ districts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Company-reported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Presolv360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~1M disputes; Series A ~USD 4.7M (2025)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Press (Inc42 / Entrepreneur)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Webnyay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Sole IFSCA-authorised ODR in GIFT City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Company / sector reports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Jupitice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Markets a ‘private digital court’; AI/blockchain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Company-reported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CADRE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Sector-specific; WhatsApp/SMS access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Company-reported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AAA / ODR.com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AAA acquired ODR.com &amp; Mediate.com (2024)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Legal-press (LawSites)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Tyler/Modria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Court-embedded ODR; &gt;1M cases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Vendor</w:t>
            </w:r>
          </w:p>
        </w:tc>
      </w:tr>
      <w:tr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India court pendency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Tens of millions of pending cases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2"/>
                <w:szCs w:val="12"/>
              </w:rPr>
              <w:t xml:space="preserve">Govt / NJDG context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Source List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frljwsqjqvo3pllc8jh3w">
        <w:r>
          <w:rPr>
            <w:rStyle w:val="Hyperlink"/>
            <w:sz w:val="18"/>
            <w:szCs w:val="18"/>
          </w:rPr>
          <w:t xml:space="preserve">The Mediation Act, 2023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qfw1tdqdwa6qxgshgibyx">
        <w:r>
          <w:rPr>
            <w:rStyle w:val="Hyperlink"/>
            <w:sz w:val="18"/>
            <w:szCs w:val="18"/>
          </w:rPr>
          <w:t xml:space="preserve">Arbitration &amp; Conciliation Act, 1996 (India Code)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fi9ocdrd7_gtvbe2d0mnm">
        <w:r>
          <w:rPr>
            <w:rStyle w:val="Hyperlink"/>
            <w:sz w:val="18"/>
            <w:szCs w:val="18"/>
          </w:rPr>
          <w:t xml:space="preserve">Rajnesh v Neha (2020)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17zvvx6repgc5wju0jpfs">
        <w:r>
          <w:rPr>
            <w:rStyle w:val="Hyperlink"/>
            <w:sz w:val="18"/>
            <w:szCs w:val="18"/>
          </w:rPr>
          <w:t xml:space="preserve">Vidya Drolia — fourfold arbitrability test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etj51fcvsjv5dlibc1b8d">
        <w:r>
          <w:rPr>
            <w:rStyle w:val="Hyperlink"/>
            <w:sz w:val="18"/>
            <w:szCs w:val="18"/>
          </w:rPr>
          <w:t xml:space="preserve">Commercial Courts Act s.12A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c3spd6sh496uke5imag3x">
        <w:r>
          <w:rPr>
            <w:rStyle w:val="Hyperlink"/>
            <w:sz w:val="18"/>
            <w:szCs w:val="18"/>
          </w:rPr>
          <w:t xml:space="preserve">POSH timelines overview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ey9acdernanylw1lglcqf">
        <w:r>
          <w:rPr>
            <w:rStyle w:val="Hyperlink"/>
            <w:sz w:val="18"/>
            <w:szCs w:val="18"/>
          </w:rPr>
          <w:t xml:space="preserve">SARFAESI borrower rights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139rvjxt-bwf9bwhgqnks">
        <w:r>
          <w:rPr>
            <w:rStyle w:val="Hyperlink"/>
            <w:sz w:val="18"/>
            <w:szCs w:val="18"/>
          </w:rPr>
          <w:t xml:space="preserve">RBI Digital Lending Directions 2025 (overview)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laskeirzrnom6kwaobwbo">
        <w:r>
          <w:rPr>
            <w:rStyle w:val="Hyperlink"/>
            <w:sz w:val="18"/>
            <w:szCs w:val="18"/>
          </w:rPr>
          <w:t xml:space="preserve">Top 10 Legal ODR companies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sb9hwgewznji2-heeh-at">
        <w:r>
          <w:rPr>
            <w:rStyle w:val="Hyperlink"/>
            <w:sz w:val="18"/>
            <w:szCs w:val="18"/>
          </w:rPr>
          <w:t xml:space="preserve">Presolv360 funding (Inc42)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wq7nflycxd0af3vqdnobr">
        <w:r>
          <w:rPr>
            <w:rStyle w:val="Hyperlink"/>
            <w:sz w:val="18"/>
            <w:szCs w:val="18"/>
          </w:rPr>
          <w:t xml:space="preserve">AAA acquires ODR.com / Mediate.com</w:t>
        </w:r>
      </w:hyperlink>
    </w:p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End of DOC-10 v1.0. Re-verify time-sensitive figures before reliance.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3"/>
        <w:szCs w:val="13"/>
      </w:rPr>
      <w:t xml:space="preserve">Confidential   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Research &amp; Evidence Annex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rljwsqjqvo3pllc8jh3w" Type="http://schemas.openxmlformats.org/officeDocument/2006/relationships/hyperlink" Target="https://legalaffairs.gov.in/sites/default/files/MediationAct2023.pdf" TargetMode="External"/><Relationship Id="rIdqfw1tdqdwa6qxgshgibyx" Type="http://schemas.openxmlformats.org/officeDocument/2006/relationships/hyperlink" Target="https://www.indiacode.nic.in/handle/123456789/1978" TargetMode="External"/><Relationship Id="rIdfi9ocdrd7_gtvbe2d0mnm" Type="http://schemas.openxmlformats.org/officeDocument/2006/relationships/hyperlink" Target="https://indiankanoon.org/doc/117541087/" TargetMode="External"/><Relationship Id="rId17zvvx6repgc5wju0jpfs" Type="http://schemas.openxmlformats.org/officeDocument/2006/relationships/hyperlink" Target="https://ksandk.com/adr/vidya-drolia-and-the-four-fold-test/" TargetMode="External"/><Relationship Id="rIdetj51fcvsjv5dlibc1b8d" Type="http://schemas.openxmlformats.org/officeDocument/2006/relationships/hyperlink" Target="https://www.indiacode.nic.in/show-data?actid=AC_CEN_3_46_00008_201604_1517807328347&amp;orderno=14" TargetMode="External"/><Relationship Id="rIdc3spd6sh496uke5imag3x" Type="http://schemas.openxmlformats.org/officeDocument/2006/relationships/hyperlink" Target="https://www.btgadvaya.com/post/statutory-timelines-under-the-posh-act-for-investigation" TargetMode="External"/><Relationship Id="rIdey9acdernanylw1lglcqf" Type="http://schemas.openxmlformats.org/officeDocument/2006/relationships/hyperlink" Target="https://www.airtel.in/blog/personal-loan/sarfaesi-act-explained-borrowers-know/" TargetMode="External"/><Relationship Id="rId139rvjxt-bwf9bwhgqnks" Type="http://schemas.openxmlformats.org/officeDocument/2006/relationships/hyperlink" Target="https://www.obhanandassociates.com/blog/rewriting-the-rules-of-digital-lending-rbi-digital-lending-directions-2025/" TargetMode="External"/><Relationship Id="rIdlaskeirzrnom6kwaobwbo" Type="http://schemas.openxmlformats.org/officeDocument/2006/relationships/hyperlink" Target="https://www.emergenresearch.com/blog/top-10-companies-in-the-legal-online-dispute-resolution-market" TargetMode="External"/><Relationship Id="rIdsb9hwgewznji2-heeh-at" Type="http://schemas.openxmlformats.org/officeDocument/2006/relationships/hyperlink" Target="https://inc42.com/buzz/update-exclusive-presolv360-raises-4-7-mn-from-elevation-capital-others/" TargetMode="External"/><Relationship Id="rIdwq7nflycxd0af3vqdnobr" Type="http://schemas.openxmlformats.org/officeDocument/2006/relationships/hyperlink" Target="https://www.lawnext.com/2024/05/american-arbitration-association-acquires-odr-com-and-mediate-com-to-expand-online-dispute-resolution.html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&amp; Evidence Annex</dc:title>
  <dc:creator>Equator Resolution</dc:creator>
  <cp:lastModifiedBy>Un-named</cp:lastModifiedBy>
  <cp:revision>1</cp:revision>
  <dcterms:created xsi:type="dcterms:W3CDTF">2026-06-26T06:30:43.394Z</dcterms:created>
  <dcterms:modified xsi:type="dcterms:W3CDTF">2026-06-26T06:30:43.394Z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