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40"/>
        <w:jc w:val="center"/>
      </w:pPr>
      <w:r>
        <w:rPr>
          <w:b/>
          <w:bCs/>
          <w:color w:val="0B2A4A"/>
          <w:sz w:val="64"/>
          <w:szCs w:val="64"/>
        </w:rPr>
        <w:t xml:space="preserve">EQUATOR RESOLUTION</w:t>
      </w:r>
    </w:p>
    <w:p>
      <w:pPr>
        <w:spacing w:after="200"/>
        <w:jc w:val="center"/>
      </w:pPr>
      <w:r>
        <w:rPr>
          <w:i/>
          <w:iCs/>
          <w:color w:val="0E7C7B"/>
          <w:sz w:val="26"/>
          <w:szCs w:val="26"/>
        </w:rPr>
        <w:t xml:space="preserve">Where Disputes Find Their Balance</w:t>
      </w:r>
    </w:p>
    <w:p>
      <w:pPr>
        <w:pBdr>
          <w:bottom w:val="single" w:color="0E7C7B" w:sz="12" w:space="6"/>
        </w:pBdr>
        <w:spacing w:after="220"/>
        <w:jc w:val="center"/>
      </w:pPr>
      <w:r>
        <w:rPr>
          <w:sz w:val="2"/>
          <w:szCs w:val="2"/>
        </w:rPr>
        <w:t xml:space="preserve"/>
      </w:r>
    </w:p>
    <w:p>
      <w:pPr>
        <w:spacing w:after="30"/>
        <w:jc w:val="center"/>
      </w:pPr>
      <w:r>
        <w:rPr>
          <w:b/>
          <w:bCs/>
          <w:color w:val="1F2937"/>
          <w:sz w:val="40"/>
          <w:szCs w:val="40"/>
        </w:rPr>
        <w:t xml:space="preserve">Platform &amp; Solution Architecture</w:t>
      </w:r>
    </w:p>
    <w:p>
      <w:pPr>
        <w:spacing w:after="30"/>
        <w:jc w:val="center"/>
      </w:pPr>
      <w:r>
        <w:rPr>
          <w:color w:val="6B7280"/>
          <w:sz w:val="26"/>
          <w:szCs w:val="26"/>
        </w:rPr>
        <w:t xml:space="preserve">Online Dispute Resolution (ODR) Ecosystem</w:t>
      </w:r>
    </w:p>
    <w:p>
      <w:pPr>
        <w:spacing w:after="600"/>
        <w:jc w:val="center"/>
      </w:pPr>
      <w:r>
        <w:rPr>
          <w:color w:val="1F6FB2"/>
          <w:sz w:val="20"/>
          <w:szCs w:val="20"/>
        </w:rPr>
        <w:t xml:space="preserve">Mediation  •  Arbitration  •  Conciliation  •  Grievance Redressal</w:t>
      </w:r>
    </w:p>
    <w:p>
      <w:pPr>
        <w:spacing w:after="20"/>
        <w:jc w:val="center"/>
      </w:pPr>
      <w:r>
        <w:rPr>
          <w:b/>
          <w:bCs/>
          <w:color w:val="0B2A4A"/>
          <w:sz w:val="22"/>
          <w:szCs w:val="22"/>
        </w:rPr>
        <w:t xml:space="preserve">Comprehensive Technical Architecture &amp; Engineering Blueprint</w:t>
      </w:r>
    </w:p>
    <w:p>
      <w:pPr>
        <w:spacing w:after="20"/>
        <w:jc w:val="center"/>
      </w:pPr>
      <w:r>
        <w:rPr>
          <w:color w:val="6B7280"/>
          <w:sz w:val="19"/>
          <w:szCs w:val="19"/>
        </w:rPr>
        <w:t xml:space="preserve">Jurisdiction: India-first, architected for global expansion</w:t>
      </w:r>
    </w:p>
    <w:p>
      <w:pPr>
        <w:spacing w:after="20"/>
        <w:jc w:val="center"/>
      </w:pPr>
      <w:r>
        <w:rPr>
          <w:color w:val="6B7280"/>
          <w:sz w:val="19"/>
          <w:szCs w:val="19"/>
        </w:rPr>
        <w:t xml:space="preserve">Version 1.3  |  June 2026  |  includes Architecture Enhancements (Sections 19, 20 &amp; 21)</w:t>
      </w:r>
    </w:p>
    <w:p>
      <w:pPr>
        <w:spacing w:after="20"/>
        <w:jc w:val="center"/>
      </w:pPr>
      <w:r>
        <w:rPr>
          <w:color w:val="6B7280"/>
          <w:sz w:val="19"/>
          <w:szCs w:val="19"/>
        </w:rPr>
        <w:t xml:space="preserve">Prepared for: Founder &amp; Engineering Leadership</w:t>
      </w:r>
    </w:p>
    <w:p>
      <w:pPr>
        <w:spacing w:after="20"/>
        <w:jc w:val="center"/>
      </w:pPr>
      <w:r>
        <w:rPr>
          <w:i/>
          <w:iCs/>
          <w:color w:val="9CA3AF"/>
          <w:sz w:val="17"/>
          <w:szCs w:val="17"/>
        </w:rPr>
        <w:t xml:space="preserve">Status: CONFIDENTIAL — Internal Working Document</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0. Document Control &amp; How to Use This Document</w:t>
      </w:r>
    </w:p>
    <w:p>
      <w:pPr>
        <w:spacing w:after="140" w:line="276"/>
      </w:pPr>
      <w:r>
        <w:t xml:space="preserve">This document is the master architecture reference for the Equator Resolution platform. It is written to be directly actionable by the engineering, product, design, compliance and business teams. Where a concept has a build implication, the build implication is stated explicitly.</w:t>
      </w:r>
    </w:p>
    <w:p>
      <w:pPr>
        <w:pStyle w:val="Heading3"/>
      </w:pPr>
      <w:r>
        <w:t xml:space="preserve">0.1 Companion deliverables</w:t>
      </w:r>
    </w:p>
    <w:p>
      <w:pPr>
        <w:spacing w:after="140" w:line="276"/>
      </w:pPr>
      <w:r>
        <w:t xml:space="preserve">This architecture document is one of five companion deliverables produced together and intended to be read as a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900"/>
        <w:gridCol w:w="3160"/>
      </w:tblGrid>
      <w:tr>
        <w:trPr>
          <w:tblHeader/>
        </w:trPr>
        <w:tc>
          <w:tcPr>
            <w:tcW w:type="dxa" w:w="33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9"/>
                <w:szCs w:val="19"/>
              </w:rPr>
              <w:t xml:space="preserve">Deliverable</w:t>
            </w:r>
          </w:p>
        </w:tc>
        <w:tc>
          <w:tcPr>
            <w:tcW w:type="dxa" w:w="29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9"/>
                <w:szCs w:val="19"/>
              </w:rPr>
              <w:t xml:space="preserve">Audience</w:t>
            </w:r>
          </w:p>
        </w:tc>
        <w:tc>
          <w:tcPr>
            <w:tcW w:type="dxa" w:w="316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9"/>
                <w:szCs w:val="19"/>
              </w:rPr>
              <w:t xml:space="preserve">Purpose</w:t>
            </w:r>
          </w:p>
        </w:tc>
      </w:tr>
      <w:tr>
        <w:tc>
          <w:tcPr>
            <w:tcW w:type="dxa" w:w="33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9"/>
                <w:szCs w:val="19"/>
              </w:rPr>
              <w:t xml:space="preserve">Architecture Document (this file)</w:t>
            </w:r>
          </w:p>
        </w:tc>
        <w:tc>
          <w:tcPr>
            <w:tcW w:type="dxa" w:w="29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9"/>
                <w:szCs w:val="19"/>
              </w:rPr>
              <w:t xml:space="preserve">CTO, architects, product, compliance</w:t>
            </w:r>
          </w:p>
        </w:tc>
        <w:tc>
          <w:tcPr>
            <w:tcW w:type="dxa" w:w="31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9"/>
                <w:szCs w:val="19"/>
              </w:rPr>
              <w:t xml:space="preserve">Master narrative — business model, modules, services, data, security, compliance, roadmap.</w:t>
            </w:r>
          </w:p>
        </w:tc>
      </w:tr>
      <w:tr>
        <w:tc>
          <w:tcPr>
            <w:tcW w:type="dxa" w:w="33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9"/>
                <w:szCs w:val="19"/>
              </w:rPr>
              <w:t xml:space="preserve">Forms &amp; Database Specification (.xlsx)</w:t>
            </w:r>
          </w:p>
        </w:tc>
        <w:tc>
          <w:tcPr>
            <w:tcW w:type="dxa" w:w="29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9"/>
                <w:szCs w:val="19"/>
              </w:rPr>
              <w:t xml:space="preserve">IT / development team</w:t>
            </w:r>
          </w:p>
        </w:tc>
        <w:tc>
          <w:tcPr>
            <w:tcW w:type="dxa" w:w="31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9"/>
                <w:szCs w:val="19"/>
              </w:rPr>
              <w:t xml:space="preserve">Field-level specs for every onboarding form and the relational schema (tables, columns, types, validation, relationships).</w:t>
            </w:r>
          </w:p>
        </w:tc>
      </w:tr>
      <w:tr>
        <w:tc>
          <w:tcPr>
            <w:tcW w:type="dxa" w:w="33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9"/>
                <w:szCs w:val="19"/>
              </w:rPr>
              <w:t xml:space="preserve">Architecture Diagrams (visual)</w:t>
            </w:r>
          </w:p>
        </w:tc>
        <w:tc>
          <w:tcPr>
            <w:tcW w:type="dxa" w:w="29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9"/>
                <w:szCs w:val="19"/>
              </w:rPr>
              <w:t xml:space="preserve">All stakeholders</w:t>
            </w:r>
          </w:p>
        </w:tc>
        <w:tc>
          <w:tcPr>
            <w:tcW w:type="dxa" w:w="31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9"/>
                <w:szCs w:val="19"/>
              </w:rPr>
              <w:t xml:space="preserve">System context, module map, case lifecycle, data flow, deployment topology.</w:t>
            </w:r>
          </w:p>
        </w:tc>
      </w:tr>
      <w:tr>
        <w:tc>
          <w:tcPr>
            <w:tcW w:type="dxa" w:w="33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9"/>
                <w:szCs w:val="19"/>
              </w:rPr>
              <w:t xml:space="preserve">Competitor &amp; Market Research Report (.docx)</w:t>
            </w:r>
          </w:p>
        </w:tc>
        <w:tc>
          <w:tcPr>
            <w:tcW w:type="dxa" w:w="29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9"/>
                <w:szCs w:val="19"/>
              </w:rPr>
              <w:t xml:space="preserve">Founders, strategy, investors</w:t>
            </w:r>
          </w:p>
        </w:tc>
        <w:tc>
          <w:tcPr>
            <w:tcW w:type="dxa" w:w="31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9"/>
                <w:szCs w:val="19"/>
              </w:rPr>
              <w:t xml:space="preserve">Deep scan of the ODR landscape (India + global), feature gaps, positioning.</w:t>
            </w:r>
          </w:p>
        </w:tc>
      </w:tr>
      <w:tr>
        <w:tc>
          <w:tcPr>
            <w:tcW w:type="dxa" w:w="33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9"/>
                <w:szCs w:val="19"/>
              </w:rPr>
              <w:t xml:space="preserve">Stakeholder / Investor Deck (.pptx)</w:t>
            </w:r>
          </w:p>
        </w:tc>
        <w:tc>
          <w:tcPr>
            <w:tcW w:type="dxa" w:w="29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9"/>
                <w:szCs w:val="19"/>
              </w:rPr>
              <w:t xml:space="preserve">Investors, board, partners</w:t>
            </w:r>
          </w:p>
        </w:tc>
        <w:tc>
          <w:tcPr>
            <w:tcW w:type="dxa" w:w="31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9"/>
                <w:szCs w:val="19"/>
              </w:rPr>
              <w:t xml:space="preserve">Condensed story: problem, market, product, moat, ask.</w:t>
            </w:r>
          </w:p>
        </w:tc>
      </w:tr>
    </w:tbl>
    <w:p>
      <w:pPr>
        <w:spacing w:after="80"/>
      </w:pPr>
      <w:r>
        <w:t xml:space="preserve"/>
      </w:r>
    </w:p>
    <w:p>
      <w:pPr>
        <w:pStyle w:val="Heading3"/>
      </w:pPr>
      <w:r>
        <w:t xml:space="preserve">0.2 Reading guide</w:t>
      </w:r>
    </w:p>
    <w:p>
      <w:pPr>
        <w:pStyle w:val="ListParagraph"/>
        <w:numPr>
          <w:ilvl w:val="0"/>
          <w:numId w:val="2"/>
        </w:numPr>
        <w:spacing w:after="60" w:line="270"/>
      </w:pPr>
      <w:r>
        <w:t xml:space="preserve">Business and product readers: focus on Sections 1–5 and 14.</w:t>
      </w:r>
    </w:p>
    <w:p>
      <w:pPr>
        <w:pStyle w:val="ListParagraph"/>
        <w:numPr>
          <w:ilvl w:val="0"/>
          <w:numId w:val="2"/>
        </w:numPr>
        <w:spacing w:after="60" w:line="270"/>
      </w:pPr>
      <w:r>
        <w:t xml:space="preserve">Engineering readers: focus on Sections 6–13 and the companion Forms &amp; DB specification.</w:t>
      </w:r>
    </w:p>
    <w:p>
      <w:pPr>
        <w:pStyle w:val="ListParagraph"/>
        <w:numPr>
          <w:ilvl w:val="0"/>
          <w:numId w:val="2"/>
        </w:numPr>
        <w:spacing w:after="60" w:line="270"/>
      </w:pPr>
      <w:r>
        <w:t xml:space="preserve">Compliance and legal readers: focus on Sections 2.2, 9, 10 and 12.</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8FB" w:sz="1"/>
              <w:left w:val="single" w:color="1F6FB2" w:sz="24"/>
              <w:bottom w:val="single" w:color="F4F8FB" w:sz="1"/>
              <w:right w:val="single" w:color="F4F8FB" w:sz="1"/>
            </w:tcBorders>
            <w:shd w:fill="F4F8FB" w:val="clear"/>
            <w:tcMar>
              <w:top w:type="dxa" w:w="120"/>
              <w:left w:type="dxa" w:w="160"/>
              <w:bottom w:type="dxa" w:w="120"/>
              <w:right w:type="dxa" w:w="160"/>
            </w:tcMar>
          </w:tcPr>
          <w:p>
            <w:pPr>
              <w:spacing w:after="60"/>
            </w:pPr>
            <w:r>
              <w:rPr>
                <w:b/>
                <w:bCs/>
                <w:color w:val="0B2A4A"/>
                <w:sz w:val="20"/>
                <w:szCs w:val="20"/>
              </w:rPr>
              <w:t xml:space="preserve">A note on naming</w:t>
            </w:r>
          </w:p>
          <w:p>
            <w:pPr>
              <w:spacing w:after="0"/>
            </w:pPr>
            <w:r>
              <w:rPr>
                <w:color w:val="1F2937"/>
                <w:sz w:val="19"/>
                <w:szCs w:val="19"/>
              </w:rPr>
              <w:t xml:space="preserve">“Equator” is the brand for both the platform and the captive dispute-resolution institution (“Equator Dispute Resolution Services” / EDRS). “Neutral” is the umbrella term for arbitrators, mediators and conciliators. “Private Court” refers to the self-managed workspace a neutral or institution can operate independently on the platform.</w:t>
            </w:r>
          </w:p>
        </w:tc>
      </w:tr>
    </w:tbl>
    <w:p>
      <w:r>
        <w:br w:type="page"/>
      </w:r>
    </w:p>
    <w:p>
      <w:pPr>
        <w:pStyle w:val="Heading1"/>
      </w:pPr>
      <w:r>
        <w:t xml:space="preserve">1. Executive Summary</w:t>
      </w:r>
    </w:p>
    <w:p>
      <w:pPr>
        <w:spacing w:after="140" w:line="276"/>
      </w:pPr>
      <w:r>
        <w:t xml:space="preserve">Equator Resolution is an Online Dispute Resolution (ODR) platform and dispute-resolution institution that digitises the full lifecycle of mediation, arbitration and conciliation. It serves three demand segments — families in marital disputes, NBFCs and their borrowers, and businesses with commercial, contractual and transactional disputes — and adds an enterprise grievance-redressal capability (including POSH) for the workforce side of business clients. On the supply side it onboards, trains, empanels and equips neutrals (arbitrators, mediators, conciliators) and case managers, and lets independent neutrals and institutions run their own self-managed “Private Courts” on the same infrastructure.</w:t>
      </w:r>
    </w:p>
    <w:p>
      <w:pPr>
        <w:spacing w:after="140" w:line="276"/>
      </w:pPr>
      <w:r>
        <w:t xml:space="preserve">The platform is multi-tenant, API-first, cloud-native and configurable by jurisdiction. India is the launch market — the design maps to the Arbitration &amp; Conciliation Act 1996, the Mediation Act 2023, the RBI (Digital Lending) Directions 2025, the Consumer Protection framework and the POSH Act 2013 — but every legally-sensitive rule (timelines, notices, fee schedules, panel rules, document templates, e-stamping) is data-driven, so the same engine extends to UNCITRAL-aligned and other jurisdictions.</w:t>
      </w:r>
    </w:p>
    <w:p>
      <w:pPr>
        <w:pStyle w:val="Heading3"/>
      </w:pPr>
      <w:r>
        <w:t xml:space="preserve">1.1 What Equator does, in one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1850"/>
        <w:gridCol w:w="3160"/>
        <w:gridCol w:w="2700"/>
      </w:tblGrid>
      <w:tr>
        <w:trPr>
          <w:tblHeader/>
        </w:trPr>
        <w:tc>
          <w:tcPr>
            <w:tcW w:type="dxa" w:w="165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8"/>
                <w:szCs w:val="18"/>
              </w:rPr>
              <w:t xml:space="preserve">Pillar</w:t>
            </w:r>
          </w:p>
        </w:tc>
        <w:tc>
          <w:tcPr>
            <w:tcW w:type="dxa" w:w="185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8"/>
                <w:szCs w:val="18"/>
              </w:rPr>
              <w:t xml:space="preserve">Who it serves</w:t>
            </w:r>
          </w:p>
        </w:tc>
        <w:tc>
          <w:tcPr>
            <w:tcW w:type="dxa" w:w="316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8"/>
                <w:szCs w:val="18"/>
              </w:rPr>
              <w:t xml:space="preserve">How disputes are resolved</w:t>
            </w:r>
          </w:p>
        </w:tc>
        <w:tc>
          <w:tcPr>
            <w:tcW w:type="dxa" w:w="27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8"/>
                <w:szCs w:val="18"/>
              </w:rPr>
              <w:t xml:space="preserve">Why it matters</w:t>
            </w:r>
          </w:p>
        </w:tc>
      </w:tr>
      <w:tr>
        <w:tc>
          <w:tcPr>
            <w:tcW w:type="dxa" w:w="16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8"/>
                <w:szCs w:val="18"/>
              </w:rPr>
              <w:t xml:space="preserve">Family / Marital</w:t>
            </w:r>
          </w:p>
        </w:tc>
        <w:tc>
          <w:tcPr>
            <w:tcW w:type="dxa" w:w="18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8"/>
                <w:szCs w:val="18"/>
              </w:rPr>
              <w:t xml:space="preserve">Couples, families</w:t>
            </w:r>
          </w:p>
        </w:tc>
        <w:tc>
          <w:tcPr>
            <w:tcW w:type="dxa" w:w="31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8"/>
                <w:szCs w:val="18"/>
              </w:rPr>
              <w:t xml:space="preserve">Mediation (primary); optional arbitration for monetisable issues</w:t>
            </w:r>
          </w:p>
        </w:tc>
        <w:tc>
          <w:tcPr>
            <w:tcW w:type="dxa" w:w="2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8"/>
                <w:szCs w:val="18"/>
              </w:rPr>
              <w:t xml:space="preserve">Faster, private, less adversarial than litigation.</w:t>
            </w:r>
          </w:p>
        </w:tc>
      </w:tr>
      <w:tr>
        <w:tc>
          <w:tcPr>
            <w:tcW w:type="dxa" w:w="16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8"/>
                <w:szCs w:val="18"/>
              </w:rPr>
              <w:t xml:space="preserve">NBFC ↔ Borrower</w:t>
            </w:r>
          </w:p>
        </w:tc>
        <w:tc>
          <w:tcPr>
            <w:tcW w:type="dxa" w:w="18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8"/>
                <w:szCs w:val="18"/>
              </w:rPr>
              <w:t xml:space="preserve">Lenders &amp; borrowers</w:t>
            </w:r>
          </w:p>
        </w:tc>
        <w:tc>
          <w:tcPr>
            <w:tcW w:type="dxa" w:w="31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8"/>
                <w:szCs w:val="18"/>
              </w:rPr>
              <w:t xml:space="preserve">Conciliation → Mediation or Arbitration; clause-driven, bulk-referable</w:t>
            </w:r>
          </w:p>
        </w:tc>
        <w:tc>
          <w:tcPr>
            <w:tcW w:type="dxa" w:w="2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8"/>
                <w:szCs w:val="18"/>
              </w:rPr>
              <w:t xml:space="preserve">RBI-aligned grievance path; recovery at scale, lower cost.</w:t>
            </w:r>
          </w:p>
        </w:tc>
      </w:tr>
      <w:tr>
        <w:tc>
          <w:tcPr>
            <w:tcW w:type="dxa" w:w="16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8"/>
                <w:szCs w:val="18"/>
              </w:rPr>
              <w:t xml:space="preserve">Business / Commercial</w:t>
            </w:r>
          </w:p>
        </w:tc>
        <w:tc>
          <w:tcPr>
            <w:tcW w:type="dxa" w:w="18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8"/>
                <w:szCs w:val="18"/>
              </w:rPr>
              <w:t xml:space="preserve">Companies, MSMEs</w:t>
            </w:r>
          </w:p>
        </w:tc>
        <w:tc>
          <w:tcPr>
            <w:tcW w:type="dxa" w:w="31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8"/>
                <w:szCs w:val="18"/>
              </w:rPr>
              <w:t xml:space="preserve">Mediation and/or Arbitration via contract clauses, MoUs, T&amp;Cs</w:t>
            </w:r>
          </w:p>
        </w:tc>
        <w:tc>
          <w:tcPr>
            <w:tcW w:type="dxa" w:w="2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8"/>
                <w:szCs w:val="18"/>
              </w:rPr>
              <w:t xml:space="preserve">Enforceable awards/settlements, contract-embedded.</w:t>
            </w:r>
          </w:p>
        </w:tc>
      </w:tr>
      <w:tr>
        <w:tc>
          <w:tcPr>
            <w:tcW w:type="dxa" w:w="16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8"/>
                <w:szCs w:val="18"/>
              </w:rPr>
              <w:t xml:space="preserve">Enterprise Grievance</w:t>
            </w:r>
          </w:p>
        </w:tc>
        <w:tc>
          <w:tcPr>
            <w:tcW w:type="dxa" w:w="18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8"/>
                <w:szCs w:val="18"/>
              </w:rPr>
              <w:t xml:space="preserve">Employees / staff</w:t>
            </w:r>
          </w:p>
        </w:tc>
        <w:tc>
          <w:tcPr>
            <w:tcW w:type="dxa" w:w="31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8"/>
                <w:szCs w:val="18"/>
              </w:rPr>
              <w:t xml:space="preserve">Internal redressal incl. POSH; escalation to Equator (EDRS)</w:t>
            </w:r>
          </w:p>
        </w:tc>
        <w:tc>
          <w:tcPr>
            <w:tcW w:type="dxa" w:w="2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8"/>
                <w:szCs w:val="18"/>
              </w:rPr>
              <w:t xml:space="preserve">Statutory compliance + neutral escalation.</w:t>
            </w:r>
          </w:p>
        </w:tc>
      </w:tr>
      <w:tr>
        <w:tc>
          <w:tcPr>
            <w:tcW w:type="dxa" w:w="16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8"/>
                <w:szCs w:val="18"/>
              </w:rPr>
              <w:t xml:space="preserve">Neutrals &amp; Academy</w:t>
            </w:r>
          </w:p>
        </w:tc>
        <w:tc>
          <w:tcPr>
            <w:tcW w:type="dxa" w:w="18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8"/>
                <w:szCs w:val="18"/>
              </w:rPr>
              <w:t xml:space="preserve">Arbitrators, mediators, case managers</w:t>
            </w:r>
          </w:p>
        </w:tc>
        <w:tc>
          <w:tcPr>
            <w:tcW w:type="dxa" w:w="31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8"/>
                <w:szCs w:val="18"/>
              </w:rPr>
              <w:t xml:space="preserve">Empanelment + training; Private Court for self-managed cases</w:t>
            </w:r>
          </w:p>
        </w:tc>
        <w:tc>
          <w:tcPr>
            <w:tcW w:type="dxa" w:w="2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8"/>
                <w:szCs w:val="18"/>
              </w:rPr>
              <w:t xml:space="preserve">Supply of qualified neutrals; recurring revenue.</w:t>
            </w:r>
          </w:p>
        </w:tc>
      </w:tr>
    </w:tbl>
    <w:p>
      <w:pPr>
        <w:spacing w:after="80"/>
      </w:pPr>
      <w:r>
        <w:t xml:space="preserve"/>
      </w:r>
    </w:p>
    <w:p>
      <w:pPr>
        <w:pStyle w:val="Heading3"/>
      </w:pPr>
      <w:r>
        <w:t xml:space="preserve">1.2 The strategic thesis</w:t>
      </w:r>
    </w:p>
    <w:p>
      <w:pPr>
        <w:pStyle w:val="ListParagraph"/>
        <w:numPr>
          <w:ilvl w:val="0"/>
          <w:numId w:val="2"/>
        </w:numPr>
        <w:spacing w:after="60" w:line="270"/>
      </w:pPr>
      <w:r>
        <w:rPr>
          <w:b/>
          <w:bCs/>
        </w:rPr>
        <w:t xml:space="preserve">Two-sided + infrastructure. </w:t>
      </w:r>
      <w:r>
        <w:t xml:space="preserve">Most ODR players pick a side — either a managed institution or a SaaS tool. Equator runs both: a managed institution (EDRS) AND a neutral-facing “Private Court” product, on shared rails. This compounds liquidity.</w:t>
      </w:r>
    </w:p>
    <w:p>
      <w:pPr>
        <w:pStyle w:val="ListParagraph"/>
        <w:numPr>
          <w:ilvl w:val="0"/>
          <w:numId w:val="2"/>
        </w:numPr>
        <w:spacing w:after="60" w:line="270"/>
      </w:pPr>
      <w:r>
        <w:rPr>
          <w:b/>
          <w:bCs/>
        </w:rPr>
        <w:t xml:space="preserve">Vertical depth where money concentrates. </w:t>
      </w:r>
      <w:r>
        <w:t xml:space="preserve">NBFC–borrower and commercial disputes are high-volume and clause-driven; marital and POSH are high-trust and underserved. Equator spans both the volume and the trust ends of the market.</w:t>
      </w:r>
    </w:p>
    <w:p>
      <w:pPr>
        <w:pStyle w:val="ListParagraph"/>
        <w:numPr>
          <w:ilvl w:val="0"/>
          <w:numId w:val="2"/>
        </w:numPr>
        <w:spacing w:after="60" w:line="270"/>
      </w:pPr>
      <w:r>
        <w:rPr>
          <w:b/>
          <w:bCs/>
        </w:rPr>
        <w:t xml:space="preserve">Compliance as a feature, not a tax. </w:t>
      </w:r>
      <w:r>
        <w:t xml:space="preserve">Because timelines, panels and templates are configurable, regulatory change becomes a configuration update rather than a re-build; new jurisdictions become a new ruleset.</w:t>
      </w:r>
    </w:p>
    <w:p>
      <w:pPr>
        <w:pStyle w:val="ListParagraph"/>
        <w:numPr>
          <w:ilvl w:val="0"/>
          <w:numId w:val="2"/>
        </w:numPr>
        <w:spacing w:after="60" w:line="270"/>
      </w:pPr>
      <w:r>
        <w:rPr>
          <w:b/>
          <w:bCs/>
        </w:rPr>
        <w:t xml:space="preserve">Academy as a moat. </w:t>
      </w:r>
      <w:r>
        <w:t xml:space="preserve">Training case managers and neutrals seeds the supply side, builds brand authority, and creates a funnel of empanelled professionals who default to Equator's rails.</w:t>
      </w:r>
    </w:p>
    <w:p>
      <w:r>
        <w:br w:type="page"/>
      </w:r>
    </w:p>
    <w:p>
      <w:pPr>
        <w:pStyle w:val="Heading1"/>
      </w:pPr>
      <w:r>
        <w:t xml:space="preserve">2. Market &amp; Regulatory Context</w:t>
      </w:r>
    </w:p>
    <w:p>
      <w:pPr>
        <w:spacing w:after="140" w:line="276"/>
      </w:pPr>
      <w:r>
        <w:t xml:space="preserve">This section grounds the architecture in the market and legal reality it must operate in. A fuller treatment is in the companion Competitor &amp; Market Research Report.</w:t>
      </w:r>
    </w:p>
    <w:p>
      <w:pPr>
        <w:pStyle w:val="Heading2"/>
      </w:pPr>
      <w:r>
        <w:t xml:space="preserve">2.1 Market opportunity</w:t>
      </w:r>
    </w:p>
    <w:p>
      <w:pPr>
        <w:pStyle w:val="ListParagraph"/>
        <w:numPr>
          <w:ilvl w:val="0"/>
          <w:numId w:val="2"/>
        </w:numPr>
        <w:spacing w:after="60" w:line="270"/>
      </w:pPr>
      <w:r>
        <w:t xml:space="preserve">ODR in India moved from roughly 3 startups in 2018 to a recognised category, accelerated by NITI Aayog's 2021 policy plan “Designing the Future of Dispute Resolution”, the Mediation Act 2023, and regulator-led portals such as SEBI's SMART ODR.</w:t>
      </w:r>
    </w:p>
    <w:p>
      <w:pPr>
        <w:pStyle w:val="ListParagraph"/>
        <w:numPr>
          <w:ilvl w:val="0"/>
          <w:numId w:val="2"/>
        </w:numPr>
        <w:spacing w:after="60" w:line="270"/>
      </w:pPr>
      <w:r>
        <w:t xml:space="preserve">Global Legal ODR market estimates vary by definition but consistently show double-digit CAGR through the early-to-mid 2030s; the broader ODR platforms market is sized in the multiple-USD-billions.</w:t>
      </w:r>
    </w:p>
    <w:p>
      <w:pPr>
        <w:pStyle w:val="ListParagraph"/>
        <w:numPr>
          <w:ilvl w:val="0"/>
          <w:numId w:val="2"/>
        </w:numPr>
        <w:spacing w:after="60" w:line="270"/>
      </w:pPr>
      <w:r>
        <w:t xml:space="preserve">Indian demand drivers: a pendency-heavy court system (tens of millions of pending cases), digital-lending volumes, MSME payment disputes, rising consumer e-commerce disputes, and statutory mandates (POSH, consumer ODR, RBI grievance redressal).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2F8" w:sz="1"/>
              <w:left w:val="single" w:color="0E7C7B" w:sz="24"/>
              <w:bottom w:val="single" w:color="EAF2F8" w:sz="1"/>
              <w:right w:val="single" w:color="EAF2F8" w:sz="1"/>
            </w:tcBorders>
            <w:shd w:fill="EAF2F8" w:val="clear"/>
            <w:tcMar>
              <w:top w:type="dxa" w:w="120"/>
              <w:left w:type="dxa" w:w="160"/>
              <w:bottom w:type="dxa" w:w="120"/>
              <w:right w:type="dxa" w:w="160"/>
            </w:tcMar>
          </w:tcPr>
          <w:p>
            <w:pPr>
              <w:spacing w:after="60"/>
            </w:pPr>
            <w:r>
              <w:rPr>
                <w:b/>
                <w:bCs/>
                <w:color w:val="0B2A4A"/>
                <w:sz w:val="20"/>
                <w:szCs w:val="20"/>
              </w:rPr>
              <w:t xml:space="preserve">Implication for architecture</w:t>
            </w:r>
          </w:p>
          <w:p>
            <w:pPr>
              <w:spacing w:after="0"/>
            </w:pPr>
            <w:r>
              <w:rPr>
                <w:color w:val="1F2937"/>
                <w:sz w:val="19"/>
                <w:szCs w:val="19"/>
              </w:rPr>
              <w:t xml:space="preserve">Volume is concentrated in NBFC and commercial disputes (bulk intake, clause-referral, automation). Trust is concentrated in marital and POSH (privacy, sensitivity, human-led). The platform must support both a high-throughput “pipeline” mode and a high-touch “confidential” mode on the same core.</w:t>
            </w:r>
          </w:p>
        </w:tc>
      </w:tr>
    </w:tbl>
    <w:p>
      <w:pPr>
        <w:pStyle w:val="Heading2"/>
      </w:pPr>
      <w:r>
        <w:t xml:space="preserve">2.2 The Indian legal framework the platform must encode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3050"/>
        <w:gridCol w:w="3660"/>
      </w:tblGrid>
      <w:tr>
        <w:trPr>
          <w:tblHeader/>
        </w:trPr>
        <w:tc>
          <w:tcPr>
            <w:tcW w:type="dxa" w:w="265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8"/>
                <w:szCs w:val="18"/>
              </w:rPr>
              <w:t xml:space="preserve">Instrument</w:t>
            </w:r>
          </w:p>
        </w:tc>
        <w:tc>
          <w:tcPr>
            <w:tcW w:type="dxa" w:w="305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8"/>
                <w:szCs w:val="18"/>
              </w:rPr>
              <w:t xml:space="preserve">What it governs</w:t>
            </w:r>
          </w:p>
        </w:tc>
        <w:tc>
          <w:tcPr>
            <w:tcW w:type="dxa" w:w="366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8"/>
                <w:szCs w:val="18"/>
              </w:rPr>
              <w:t xml:space="preserve">Key build implications</w:t>
            </w:r>
          </w:p>
        </w:tc>
      </w:tr>
      <w:tr>
        <w:tc>
          <w:tcPr>
            <w:tcW w:type="dxa" w:w="26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8"/>
                <w:szCs w:val="18"/>
              </w:rPr>
              <w:t xml:space="preserve">Arbitration &amp; Conciliation Act, 1996</w:t>
            </w:r>
          </w:p>
        </w:tc>
        <w:tc>
          <w:tcPr>
            <w:tcW w:type="dxa" w:w="30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8"/>
                <w:szCs w:val="18"/>
              </w:rPr>
              <w:t xml:space="preserve">Arbitration &amp; conciliation; awards enforceable as decrees</w:t>
            </w:r>
          </w:p>
        </w:tc>
        <w:tc>
          <w:tcPr>
            <w:tcW w:type="dxa" w:w="36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8"/>
                <w:szCs w:val="18"/>
              </w:rPr>
              <w:t xml:space="preserve">Notice / seat / appointment workflows; reasoned awards; Section 29A timelines; Part III conciliation.</w:t>
            </w:r>
          </w:p>
        </w:tc>
      </w:tr>
      <w:tr>
        <w:tc>
          <w:tcPr>
            <w:tcW w:type="dxa" w:w="26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8"/>
                <w:szCs w:val="18"/>
              </w:rPr>
              <w:t xml:space="preserve">Mediation Act, 2023</w:t>
            </w:r>
          </w:p>
        </w:tc>
        <w:tc>
          <w:tcPr>
            <w:tcW w:type="dxa" w:w="30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8"/>
                <w:szCs w:val="18"/>
              </w:rPr>
              <w:t xml:space="preserve">Institutional &amp; online mediation; Mediation Council of India; mediated settlement = decree</w:t>
            </w:r>
          </w:p>
        </w:tc>
        <w:tc>
          <w:tcPr>
            <w:tcW w:type="dxa" w:w="36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8"/>
                <w:szCs w:val="18"/>
              </w:rPr>
              <w:t xml:space="preserve">Online mediation (S.30); 120 (+60) day clock; confidentiality (S.22); settlement-agreement generation; mediator registration.</w:t>
            </w:r>
          </w:p>
        </w:tc>
      </w:tr>
      <w:tr>
        <w:tc>
          <w:tcPr>
            <w:tcW w:type="dxa" w:w="26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8"/>
                <w:szCs w:val="18"/>
              </w:rPr>
              <w:t xml:space="preserve">RBI (Digital Lending) Directions, 2025</w:t>
            </w:r>
          </w:p>
        </w:tc>
        <w:tc>
          <w:tcPr>
            <w:tcW w:type="dxa" w:w="30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8"/>
                <w:szCs w:val="18"/>
              </w:rPr>
              <w:t xml:space="preserve">Digital lending conduct; grievance redressal; LSP accountability</w:t>
            </w:r>
          </w:p>
        </w:tc>
        <w:tc>
          <w:tcPr>
            <w:tcW w:type="dxa" w:w="36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8"/>
                <w:szCs w:val="18"/>
              </w:rPr>
              <w:t xml:space="preserve">Nodal-officer routing; 30-day grievance SLA; escalation to RBI CMS; data localisation &amp; borrower-consent logging.</w:t>
            </w:r>
          </w:p>
        </w:tc>
      </w:tr>
      <w:tr>
        <w:tc>
          <w:tcPr>
            <w:tcW w:type="dxa" w:w="26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8"/>
                <w:szCs w:val="18"/>
              </w:rPr>
              <w:t xml:space="preserve">Consumer Protection Act + ODR push</w:t>
            </w:r>
          </w:p>
        </w:tc>
        <w:tc>
          <w:tcPr>
            <w:tcW w:type="dxa" w:w="30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8"/>
                <w:szCs w:val="18"/>
              </w:rPr>
              <w:t xml:space="preserve">Consumer–business disputes</w:t>
            </w:r>
          </w:p>
        </w:tc>
        <w:tc>
          <w:tcPr>
            <w:tcW w:type="dxa" w:w="36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8"/>
                <w:szCs w:val="18"/>
              </w:rPr>
              <w:t xml:space="preserve">Consumer-friendly intake; e-Daakhil interoperability; low-value fast-track.</w:t>
            </w:r>
          </w:p>
        </w:tc>
      </w:tr>
      <w:tr>
        <w:tc>
          <w:tcPr>
            <w:tcW w:type="dxa" w:w="26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8"/>
                <w:szCs w:val="18"/>
              </w:rPr>
              <w:t xml:space="preserve">POSH Act, 2013 + SHe-Box</w:t>
            </w:r>
          </w:p>
        </w:tc>
        <w:tc>
          <w:tcPr>
            <w:tcW w:type="dxa" w:w="30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8"/>
                <w:szCs w:val="18"/>
              </w:rPr>
              <w:t xml:space="preserve">Workplace sexual-harassment redressal</w:t>
            </w:r>
          </w:p>
        </w:tc>
        <w:tc>
          <w:tcPr>
            <w:tcW w:type="dxa" w:w="36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8"/>
                <w:szCs w:val="18"/>
              </w:rPr>
              <w:t xml:space="preserve">IC constitution; 90-day inquiry; strict confidentiality; SHe-Box-style routing; external-member support.</w:t>
            </w:r>
          </w:p>
        </w:tc>
      </w:tr>
      <w:tr>
        <w:tc>
          <w:tcPr>
            <w:tcW w:type="dxa" w:w="26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8"/>
                <w:szCs w:val="18"/>
              </w:rPr>
              <w:t xml:space="preserve">IT Act 2000 / e-sign / DPDP Act 2023</w:t>
            </w:r>
          </w:p>
        </w:tc>
        <w:tc>
          <w:tcPr>
            <w:tcW w:type="dxa" w:w="30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8"/>
                <w:szCs w:val="18"/>
              </w:rPr>
              <w:t xml:space="preserve">Electronic records, signatures, data protection</w:t>
            </w:r>
          </w:p>
        </w:tc>
        <w:tc>
          <w:tcPr>
            <w:tcW w:type="dxa" w:w="36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8"/>
                <w:szCs w:val="18"/>
              </w:rPr>
              <w:t xml:space="preserve">Aadhaar / digital e-sign; consent artefacts; data-principal rights; breach notification.</w:t>
            </w:r>
          </w:p>
        </w:tc>
      </w:tr>
    </w:tbl>
    <w:p>
      <w:pPr>
        <w:spacing w:after="80"/>
      </w:pPr>
      <w:r>
        <w:t xml:space="preserve"/>
      </w:r>
    </w:p>
    <w:p>
      <w:pPr>
        <w:pStyle w:val="Heading2"/>
      </w:pPr>
      <w:r>
        <w:t xml:space="preserve">2.3 Regulator-led reference models to emulate</w:t>
      </w:r>
    </w:p>
    <w:p>
      <w:pPr>
        <w:spacing w:after="140" w:line="276"/>
      </w:pPr>
      <w:r>
        <w:t xml:space="preserve">Two Indian models are directly instructive and the platform deliberately mirrors their proven patterns:</w:t>
      </w:r>
    </w:p>
    <w:p>
      <w:pPr>
        <w:pStyle w:val="ListParagraph"/>
        <w:numPr>
          <w:ilvl w:val="0"/>
          <w:numId w:val="2"/>
        </w:numPr>
        <w:spacing w:after="60" w:line="270"/>
      </w:pPr>
      <w:r>
        <w:rPr>
          <w:b/>
          <w:bCs/>
        </w:rPr>
        <w:t xml:space="preserve">SEBI SMART ODR (securities). </w:t>
      </w:r>
      <w:r>
        <w:t xml:space="preserve">A common portal where the investor first approaches the market participant, then escalates to a pre-conciliation window, then conciliation (a neutral is allotted to an empanelled ODR institution on a round-robin basis within fixed days), then arbitration. Fee schedules differ by outcome. Equator's NBFC pillar copies this escalation ladder and round-robin allocation.</w:t>
      </w:r>
    </w:p>
    <w:p>
      <w:pPr>
        <w:pStyle w:val="ListParagraph"/>
        <w:numPr>
          <w:ilvl w:val="0"/>
          <w:numId w:val="2"/>
        </w:numPr>
        <w:spacing w:after="60" w:line="270"/>
      </w:pPr>
      <w:r>
        <w:rPr>
          <w:b/>
          <w:bCs/>
        </w:rPr>
        <w:t xml:space="preserve">SHe-Box (POSH). </w:t>
      </w:r>
      <w:r>
        <w:t xml:space="preserve">A single-window complaint portal that auto-routes a complaint to the correct Internal or Local Committee and provides a monitoring layer with statutory-timeline visibility. Equator's enterprise grievance module copies this routing-and-monitoring pattern, with EDRS as the escalation tier.</w:t>
      </w:r>
    </w:p>
    <w:p>
      <w:pPr>
        <w:spacing w:after="80"/>
      </w:pPr>
      <w:r>
        <w:t xml:space="preserve"/>
      </w:r>
    </w:p>
    <w:p>
      <w:pPr>
        <w:pStyle w:val="Heading2"/>
      </w:pPr>
      <w:r>
        <w:t xml:space="preserve">2.4 Global expansion posture</w:t>
      </w:r>
    </w:p>
    <w:p>
      <w:pPr>
        <w:pStyle w:val="ListParagraph"/>
        <w:numPr>
          <w:ilvl w:val="0"/>
          <w:numId w:val="2"/>
        </w:numPr>
        <w:spacing w:after="60" w:line="270"/>
      </w:pPr>
      <w:r>
        <w:t xml:space="preserve">Architect every jurisdiction-specific behaviour as a Ruleset: timelines, notice content, panel-formation rules, fee schedules, document templates, stamping / e-sign provider, currency, language packs, and data-residency zone.</w:t>
      </w:r>
    </w:p>
    <w:p>
      <w:pPr>
        <w:pStyle w:val="ListParagraph"/>
        <w:numPr>
          <w:ilvl w:val="0"/>
          <w:numId w:val="2"/>
        </w:numPr>
        <w:spacing w:after="60" w:line="270"/>
      </w:pPr>
      <w:r>
        <w:t xml:space="preserve">Reference frameworks for later rulesets: UNCITRAL Technical Notes on ODR, UNCITRAL Model Law on Arbitration / Conciliation, the Singapore Convention on Mediation, EU ODR/ADR practice, UK and UAE arbitration regimes, and institutional rulebooks (SIMC, SIAC, ICC, AAA-ICDR).</w:t>
      </w:r>
    </w:p>
    <w:p>
      <w:pPr>
        <w:pStyle w:val="ListParagraph"/>
        <w:numPr>
          <w:ilvl w:val="0"/>
          <w:numId w:val="2"/>
        </w:numPr>
        <w:spacing w:after="60" w:line="270"/>
      </w:pPr>
      <w:r>
        <w:t xml:space="preserve">Keep the core engine jurisdiction-agnostic; ship the India ruleset first; add rulesets as products.</w:t>
      </w:r>
    </w:p>
    <w:p>
      <w:r>
        <w:br w:type="page"/>
      </w:r>
    </w:p>
    <w:p>
      <w:pPr>
        <w:pStyle w:val="Heading1"/>
      </w:pPr>
      <w:r>
        <w:t xml:space="preserve">3. Business Architecture</w:t>
      </w:r>
    </w:p>
    <w:p>
      <w:pPr>
        <w:spacing w:after="140" w:line="276"/>
      </w:pPr>
      <w:r>
        <w:t xml:space="preserve">Before the software, the operating model. Equator is simultaneously a marketplace (matching disputes to neutrals), a managed service (EDRS administering cases), a SaaS product (Private Court and enterprise grievance), and an education business (the Academy). The architecture must keep these lines of business cleanly separated in data and billing while sharing one case engine.</w:t>
      </w:r>
    </w:p>
    <w:p>
      <w:pPr>
        <w:pStyle w:val="Heading2"/>
      </w:pPr>
      <w:r>
        <w:t xml:space="preserve">3.1 Lines of business (LOBs)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700"/>
        <w:gridCol w:w="2460"/>
      </w:tblGrid>
      <w:tr>
        <w:trPr>
          <w:tblHeader/>
        </w:trPr>
        <w:tc>
          <w:tcPr>
            <w:tcW w:type="dxa" w:w="5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8"/>
                <w:szCs w:val="18"/>
              </w:rPr>
              <w:t xml:space="preserve">#</w:t>
            </w:r>
          </w:p>
        </w:tc>
        <w:tc>
          <w:tcPr>
            <w:tcW w:type="dxa" w:w="37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8"/>
                <w:szCs w:val="18"/>
              </w:rPr>
              <w:t xml:space="preserve">Line of business</w:t>
            </w:r>
          </w:p>
        </w:tc>
        <w:tc>
          <w:tcPr>
            <w:tcW w:type="dxa" w:w="27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8"/>
                <w:szCs w:val="18"/>
              </w:rPr>
              <w:t xml:space="preserve">Revenue model</w:t>
            </w:r>
          </w:p>
        </w:tc>
        <w:tc>
          <w:tcPr>
            <w:tcW w:type="dxa" w:w="246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8"/>
                <w:szCs w:val="18"/>
              </w:rPr>
              <w:t xml:space="preserve">Primary tenant type</w:t>
            </w:r>
          </w:p>
        </w:tc>
      </w:tr>
      <w:tr>
        <w:tc>
          <w:tcPr>
            <w:tcW w:type="dxa" w:w="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8"/>
                <w:szCs w:val="18"/>
              </w:rPr>
              <w:t xml:space="preserve">1</w:t>
            </w:r>
          </w:p>
        </w:tc>
        <w:tc>
          <w:tcPr>
            <w:tcW w:type="dxa" w:w="3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8"/>
                <w:szCs w:val="18"/>
              </w:rPr>
              <w:t xml:space="preserve">EDRS — Equator-administered cases (family, NBFC, commercial)</w:t>
            </w:r>
          </w:p>
        </w:tc>
        <w:tc>
          <w:tcPr>
            <w:tcW w:type="dxa" w:w="2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8"/>
                <w:szCs w:val="18"/>
              </w:rPr>
              <w:t xml:space="preserve">Case / filing fees, success fees, panel admin fees</w:t>
            </w:r>
          </w:p>
        </w:tc>
        <w:tc>
          <w:tcPr>
            <w:tcW w:type="dxa" w:w="24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8"/>
                <w:szCs w:val="18"/>
              </w:rPr>
              <w:t xml:space="preserve">Equator (first-party institution)</w:t>
            </w:r>
          </w:p>
        </w:tc>
      </w:tr>
      <w:tr>
        <w:tc>
          <w:tcPr>
            <w:tcW w:type="dxa" w:w="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8"/>
                <w:szCs w:val="18"/>
              </w:rPr>
              <w:t xml:space="preserve">2</w:t>
            </w:r>
          </w:p>
        </w:tc>
        <w:tc>
          <w:tcPr>
            <w:tcW w:type="dxa" w:w="3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8"/>
                <w:szCs w:val="18"/>
              </w:rPr>
              <w:t xml:space="preserve">Private Court (SaaS for neutrals &amp; institutions)</w:t>
            </w:r>
          </w:p>
        </w:tc>
        <w:tc>
          <w:tcPr>
            <w:tcW w:type="dxa" w:w="2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8"/>
                <w:szCs w:val="18"/>
              </w:rPr>
              <w:t xml:space="preserve">Subscription + per-case fee + add-ons</w:t>
            </w:r>
          </w:p>
        </w:tc>
        <w:tc>
          <w:tcPr>
            <w:tcW w:type="dxa" w:w="24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8"/>
                <w:szCs w:val="18"/>
              </w:rPr>
              <w:t xml:space="preserve">Neutral / external institution</w:t>
            </w:r>
          </w:p>
        </w:tc>
      </w:tr>
      <w:tr>
        <w:tc>
          <w:tcPr>
            <w:tcW w:type="dxa" w:w="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8"/>
                <w:szCs w:val="18"/>
              </w:rPr>
              <w:t xml:space="preserve">3</w:t>
            </w:r>
          </w:p>
        </w:tc>
        <w:tc>
          <w:tcPr>
            <w:tcW w:type="dxa" w:w="3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8"/>
                <w:szCs w:val="18"/>
              </w:rPr>
              <w:t xml:space="preserve">Enterprise Dispute Resolution (B2B clause-embedded)</w:t>
            </w:r>
          </w:p>
        </w:tc>
        <w:tc>
          <w:tcPr>
            <w:tcW w:type="dxa" w:w="2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8"/>
                <w:szCs w:val="18"/>
              </w:rPr>
              <w:t xml:space="preserve">Annual contract + per-case</w:t>
            </w:r>
          </w:p>
        </w:tc>
        <w:tc>
          <w:tcPr>
            <w:tcW w:type="dxa" w:w="24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8"/>
                <w:szCs w:val="18"/>
              </w:rPr>
              <w:t xml:space="preserve">Company (customer-facing disputes)</w:t>
            </w:r>
          </w:p>
        </w:tc>
      </w:tr>
      <w:tr>
        <w:tc>
          <w:tcPr>
            <w:tcW w:type="dxa" w:w="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8"/>
                <w:szCs w:val="18"/>
              </w:rPr>
              <w:t xml:space="preserve">4</w:t>
            </w:r>
          </w:p>
        </w:tc>
        <w:tc>
          <w:tcPr>
            <w:tcW w:type="dxa" w:w="3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8"/>
                <w:szCs w:val="18"/>
              </w:rPr>
              <w:t xml:space="preserve">Enterprise Grievance &amp; POSH</w:t>
            </w:r>
          </w:p>
        </w:tc>
        <w:tc>
          <w:tcPr>
            <w:tcW w:type="dxa" w:w="2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8"/>
                <w:szCs w:val="18"/>
              </w:rPr>
              <w:t xml:space="preserve">Per-seat / per-entity SaaS + escalation fees</w:t>
            </w:r>
          </w:p>
        </w:tc>
        <w:tc>
          <w:tcPr>
            <w:tcW w:type="dxa" w:w="24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8"/>
                <w:szCs w:val="18"/>
              </w:rPr>
              <w:t xml:space="preserve">Company (employee-facing)</w:t>
            </w:r>
          </w:p>
        </w:tc>
      </w:tr>
      <w:tr>
        <w:tc>
          <w:tcPr>
            <w:tcW w:type="dxa" w:w="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8"/>
                <w:szCs w:val="18"/>
              </w:rPr>
              <w:t xml:space="preserve">5</w:t>
            </w:r>
          </w:p>
        </w:tc>
        <w:tc>
          <w:tcPr>
            <w:tcW w:type="dxa" w:w="3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8"/>
                <w:szCs w:val="18"/>
              </w:rPr>
              <w:t xml:space="preserve">Equator Academy (training &amp; certification)</w:t>
            </w:r>
          </w:p>
        </w:tc>
        <w:tc>
          <w:tcPr>
            <w:tcW w:type="dxa" w:w="2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8"/>
                <w:szCs w:val="18"/>
              </w:rPr>
              <w:t xml:space="preserve">Course fees, certification, corporate L&amp;D</w:t>
            </w:r>
          </w:p>
        </w:tc>
        <w:tc>
          <w:tcPr>
            <w:tcW w:type="dxa" w:w="24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8"/>
                <w:szCs w:val="18"/>
              </w:rPr>
              <w:t xml:space="preserve">Individual learner / corporate</w:t>
            </w:r>
          </w:p>
        </w:tc>
      </w:tr>
      <w:tr>
        <w:tc>
          <w:tcPr>
            <w:tcW w:type="dxa" w:w="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8"/>
                <w:szCs w:val="18"/>
              </w:rPr>
              <w:t xml:space="preserve">6</w:t>
            </w:r>
          </w:p>
        </w:tc>
        <w:tc>
          <w:tcPr>
            <w:tcW w:type="dxa" w:w="3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8"/>
                <w:szCs w:val="18"/>
              </w:rPr>
              <w:t xml:space="preserve">API &amp; embed (white-label, lender integrations)</w:t>
            </w:r>
          </w:p>
        </w:tc>
        <w:tc>
          <w:tcPr>
            <w:tcW w:type="dxa" w:w="2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8"/>
                <w:szCs w:val="18"/>
              </w:rPr>
              <w:t xml:space="preserve">Platform / usage fees</w:t>
            </w:r>
          </w:p>
        </w:tc>
        <w:tc>
          <w:tcPr>
            <w:tcW w:type="dxa" w:w="24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8"/>
                <w:szCs w:val="18"/>
              </w:rPr>
              <w:t xml:space="preserve">Fintech / NBFC / marketplace</w:t>
            </w:r>
          </w:p>
        </w:tc>
      </w:tr>
    </w:tbl>
    <w:p>
      <w:pPr>
        <w:spacing w:after="80"/>
      </w:pPr>
      <w:r>
        <w:t xml:space="preserve"/>
      </w:r>
    </w:p>
    <w:p>
      <w:pPr>
        <w:pStyle w:val="Heading2"/>
      </w:pPr>
      <w:r>
        <w:t xml:space="preserve">3.2 Actors &amp; roles</w:t>
      </w:r>
    </w:p>
    <w:p>
      <w:pPr>
        <w:spacing w:after="140" w:line="276"/>
      </w:pPr>
      <w:r>
        <w:t xml:space="preserve">The platform's role model is the foundation of its access control (see Section 9). Roles are global; permissions are scoped per tenant and per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3350"/>
        <w:gridCol w:w="3660"/>
      </w:tblGrid>
      <w:tr>
        <w:trPr>
          <w:tblHeader/>
        </w:trPr>
        <w:tc>
          <w:tcPr>
            <w:tcW w:type="dxa" w:w="235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8"/>
                <w:szCs w:val="18"/>
              </w:rPr>
              <w:t xml:space="preserve">Actor</w:t>
            </w:r>
          </w:p>
        </w:tc>
        <w:tc>
          <w:tcPr>
            <w:tcW w:type="dxa" w:w="335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8"/>
                <w:szCs w:val="18"/>
              </w:rPr>
              <w:t xml:space="preserve">Description</w:t>
            </w:r>
          </w:p>
        </w:tc>
        <w:tc>
          <w:tcPr>
            <w:tcW w:type="dxa" w:w="366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8"/>
                <w:szCs w:val="18"/>
              </w:rPr>
              <w:t xml:space="preserve">Key capabilities</w:t>
            </w:r>
          </w:p>
        </w:tc>
      </w:tr>
      <w:tr>
        <w:tc>
          <w:tcPr>
            <w:tcW w:type="dxa" w:w="2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Party / Claimant / Respondent</w:t>
            </w:r>
          </w:p>
        </w:tc>
        <w:tc>
          <w:tcPr>
            <w:tcW w:type="dxa" w:w="3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Individual or entity in a dispute</w:t>
            </w:r>
          </w:p>
        </w:tc>
        <w:tc>
          <w:tcPr>
            <w:tcW w:type="dxa" w:w="36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File / respond, upload evidence, e-sign, pay, join hearings, view status.</w:t>
            </w:r>
          </w:p>
        </w:tc>
      </w:tr>
      <w:tr>
        <w:tc>
          <w:tcPr>
            <w:tcW w:type="dxa" w:w="23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Counsel / Authorised Representative</w:t>
            </w:r>
          </w:p>
        </w:tc>
        <w:tc>
          <w:tcPr>
            <w:tcW w:type="dxa" w:w="33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Lawyer or rep acting for a party</w:t>
            </w:r>
          </w:p>
        </w:tc>
        <w:tc>
          <w:tcPr>
            <w:tcW w:type="dxa" w:w="36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Act on behalf, manage filings, restricted by party mandate.</w:t>
            </w:r>
          </w:p>
        </w:tc>
      </w:tr>
      <w:tr>
        <w:tc>
          <w:tcPr>
            <w:tcW w:type="dxa" w:w="2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Neutral — Arbitrator</w:t>
            </w:r>
          </w:p>
        </w:tc>
        <w:tc>
          <w:tcPr>
            <w:tcW w:type="dxa" w:w="3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Adjudicates; renders binding award</w:t>
            </w:r>
          </w:p>
        </w:tc>
        <w:tc>
          <w:tcPr>
            <w:tcW w:type="dxa" w:w="36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Manage proceedings, orders, award drafting, fee notes.</w:t>
            </w:r>
          </w:p>
        </w:tc>
      </w:tr>
      <w:tr>
        <w:tc>
          <w:tcPr>
            <w:tcW w:type="dxa" w:w="23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Neutral — Mediator / Conciliator</w:t>
            </w:r>
          </w:p>
        </w:tc>
        <w:tc>
          <w:tcPr>
            <w:tcW w:type="dxa" w:w="33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Facilitates settlement</w:t>
            </w:r>
          </w:p>
        </w:tc>
        <w:tc>
          <w:tcPr>
            <w:tcW w:type="dxa" w:w="36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Joint / caucus sessions, settlement drafting, confidentiality controls.</w:t>
            </w:r>
          </w:p>
        </w:tc>
      </w:tr>
      <w:tr>
        <w:tc>
          <w:tcPr>
            <w:tcW w:type="dxa" w:w="2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Case Manager</w:t>
            </w:r>
          </w:p>
        </w:tc>
        <w:tc>
          <w:tcPr>
            <w:tcW w:type="dxa" w:w="3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Administers case logistics on behalf of institution</w:t>
            </w:r>
          </w:p>
        </w:tc>
        <w:tc>
          <w:tcPr>
            <w:tcW w:type="dxa" w:w="36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Scheduling, document control, compliance clock, party comms.</w:t>
            </w:r>
          </w:p>
        </w:tc>
      </w:tr>
      <w:tr>
        <w:tc>
          <w:tcPr>
            <w:tcW w:type="dxa" w:w="23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Institution Admin (EDRS / Private Court)</w:t>
            </w:r>
          </w:p>
        </w:tc>
        <w:tc>
          <w:tcPr>
            <w:tcW w:type="dxa" w:w="33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Runs an institution / panel</w:t>
            </w:r>
          </w:p>
        </w:tc>
        <w:tc>
          <w:tcPr>
            <w:tcW w:type="dxa" w:w="36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Empanelment, allocation rules, fee schedules, reporting.</w:t>
            </w:r>
          </w:p>
        </w:tc>
      </w:tr>
      <w:tr>
        <w:tc>
          <w:tcPr>
            <w:tcW w:type="dxa" w:w="2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Enterprise Admin (B2B client)</w:t>
            </w:r>
          </w:p>
        </w:tc>
        <w:tc>
          <w:tcPr>
            <w:tcW w:type="dxa" w:w="3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Company admin for disputes / grievance</w:t>
            </w:r>
          </w:p>
        </w:tc>
        <w:tc>
          <w:tcPr>
            <w:tcW w:type="dxa" w:w="36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Configure clauses, bulk-refer, manage IC, dashboards.</w:t>
            </w:r>
          </w:p>
        </w:tc>
      </w:tr>
      <w:tr>
        <w:tc>
          <w:tcPr>
            <w:tcW w:type="dxa" w:w="23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IC Member / POSH External Member</w:t>
            </w:r>
          </w:p>
        </w:tc>
        <w:tc>
          <w:tcPr>
            <w:tcW w:type="dxa" w:w="33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Internal Committee member</w:t>
            </w:r>
          </w:p>
        </w:tc>
        <w:tc>
          <w:tcPr>
            <w:tcW w:type="dxa" w:w="36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Inquiry workflow, confidential records, recommendations.</w:t>
            </w:r>
          </w:p>
        </w:tc>
      </w:tr>
      <w:tr>
        <w:tc>
          <w:tcPr>
            <w:tcW w:type="dxa" w:w="2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Nodal / Grievance Officer</w:t>
            </w:r>
          </w:p>
        </w:tc>
        <w:tc>
          <w:tcPr>
            <w:tcW w:type="dxa" w:w="3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RBI / company grievance contact</w:t>
            </w:r>
          </w:p>
        </w:tc>
        <w:tc>
          <w:tcPr>
            <w:tcW w:type="dxa" w:w="36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Intake triage, SLA monitoring, escalation.</w:t>
            </w:r>
          </w:p>
        </w:tc>
      </w:tr>
      <w:tr>
        <w:tc>
          <w:tcPr>
            <w:tcW w:type="dxa" w:w="23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Academy Learner / Trainer</w:t>
            </w:r>
          </w:p>
        </w:tc>
        <w:tc>
          <w:tcPr>
            <w:tcW w:type="dxa" w:w="33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Trainee or faculty</w:t>
            </w:r>
          </w:p>
        </w:tc>
        <w:tc>
          <w:tcPr>
            <w:tcW w:type="dxa" w:w="36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Courses, assessments, certification issuance.</w:t>
            </w:r>
          </w:p>
        </w:tc>
      </w:tr>
      <w:tr>
        <w:tc>
          <w:tcPr>
            <w:tcW w:type="dxa" w:w="2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Platform Admin / Ops / Support</w:t>
            </w:r>
          </w:p>
        </w:tc>
        <w:tc>
          <w:tcPr>
            <w:tcW w:type="dxa" w:w="3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Equator internal operations</w:t>
            </w:r>
          </w:p>
        </w:tc>
        <w:tc>
          <w:tcPr>
            <w:tcW w:type="dxa" w:w="36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Tenant mgmt, KYC review, audit, configuration, support.</w:t>
            </w:r>
          </w:p>
        </w:tc>
      </w:tr>
      <w:tr>
        <w:tc>
          <w:tcPr>
            <w:tcW w:type="dxa" w:w="23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Auditor / Regulator (read-only)</w:t>
            </w:r>
          </w:p>
        </w:tc>
        <w:tc>
          <w:tcPr>
            <w:tcW w:type="dxa" w:w="33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External oversight</w:t>
            </w:r>
          </w:p>
        </w:tc>
        <w:tc>
          <w:tcPr>
            <w:tcW w:type="dxa" w:w="36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Scoped, immutable, read-only access to specified records.</w:t>
            </w:r>
          </w:p>
        </w:tc>
      </w:tr>
    </w:tbl>
    <w:p>
      <w:pPr>
        <w:spacing w:after="80"/>
      </w:pPr>
      <w:r>
        <w:t xml:space="preserve"/>
      </w:r>
    </w:p>
    <w:p>
      <w:pPr>
        <w:pStyle w:val="Heading2"/>
      </w:pPr>
      <w:r>
        <w:t xml:space="preserve">3.3 The two business pathways for companies</w:t>
      </w:r>
    </w:p>
    <w:p>
      <w:pPr>
        <w:spacing w:after="140" w:line="276"/>
      </w:pPr>
      <w:r>
        <w:t xml:space="preserve">As specified, business clients get two distinct dispute-resolution pathways. They share the case engine but differ in intake, confidentiality and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3650"/>
        <w:gridCol w:w="3660"/>
      </w:tblGrid>
      <w:tr>
        <w:trPr>
          <w:tblHeader/>
        </w:trPr>
        <w:tc>
          <w:tcPr>
            <w:tcW w:type="dxa" w:w="205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8"/>
                <w:szCs w:val="18"/>
              </w:rPr>
              <w:t xml:space="preserve">Dimension</w:t>
            </w:r>
          </w:p>
        </w:tc>
        <w:tc>
          <w:tcPr>
            <w:tcW w:type="dxa" w:w="365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8"/>
                <w:szCs w:val="18"/>
              </w:rPr>
              <w:t xml:space="preserve">Pathway A — External disputes</w:t>
            </w:r>
          </w:p>
        </w:tc>
        <w:tc>
          <w:tcPr>
            <w:tcW w:type="dxa" w:w="366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8"/>
                <w:szCs w:val="18"/>
              </w:rPr>
              <w:t xml:space="preserve">Pathway B — Internal grievance</w:t>
            </w:r>
          </w:p>
        </w:tc>
      </w:tr>
      <w:tr>
        <w:tc>
          <w:tcPr>
            <w:tcW w:type="dxa" w:w="20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Who is involved</w:t>
            </w:r>
          </w:p>
        </w:tc>
        <w:tc>
          <w:tcPr>
            <w:tcW w:type="dxa" w:w="36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Clients / customers / consumers vs. the company</w:t>
            </w:r>
          </w:p>
        </w:tc>
        <w:tc>
          <w:tcPr>
            <w:tcW w:type="dxa" w:w="36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Employees / staff vs. the company (incl. POSH)</w:t>
            </w:r>
          </w:p>
        </w:tc>
      </w:tr>
      <w:tr>
        <w:tc>
          <w:tcPr>
            <w:tcW w:type="dxa" w:w="20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How it is triggered</w:t>
            </w:r>
          </w:p>
        </w:tc>
        <w:tc>
          <w:tcPr>
            <w:tcW w:type="dxa" w:w="36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Arbitration / mediation clause in contracts, MoUs, T&amp;Cs</w:t>
            </w:r>
          </w:p>
        </w:tc>
        <w:tc>
          <w:tcPr>
            <w:tcW w:type="dxa" w:w="36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Grievance / POSH complaint via internal portal</w:t>
            </w:r>
          </w:p>
        </w:tc>
      </w:tr>
      <w:tr>
        <w:tc>
          <w:tcPr>
            <w:tcW w:type="dxa" w:w="20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First handler</w:t>
            </w:r>
          </w:p>
        </w:tc>
        <w:tc>
          <w:tcPr>
            <w:tcW w:type="dxa" w:w="36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EDRS or chosen neutral</w:t>
            </w:r>
          </w:p>
        </w:tc>
        <w:tc>
          <w:tcPr>
            <w:tcW w:type="dxa" w:w="36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Company Internal Committee (IC) / grievance officer</w:t>
            </w:r>
          </w:p>
        </w:tc>
      </w:tr>
      <w:tr>
        <w:tc>
          <w:tcPr>
            <w:tcW w:type="dxa" w:w="20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Escalation</w:t>
            </w:r>
          </w:p>
        </w:tc>
        <w:tc>
          <w:tcPr>
            <w:tcW w:type="dxa" w:w="36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Direct to ODR (conciliation → mediation / arbitration)</w:t>
            </w:r>
          </w:p>
        </w:tc>
        <w:tc>
          <w:tcPr>
            <w:tcW w:type="dxa" w:w="36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Escalated complaints managed by EDRS via mediation / arbitration</w:t>
            </w:r>
          </w:p>
        </w:tc>
      </w:tr>
      <w:tr>
        <w:tc>
          <w:tcPr>
            <w:tcW w:type="dxa" w:w="20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Confidentiality</w:t>
            </w:r>
          </w:p>
        </w:tc>
        <w:tc>
          <w:tcPr>
            <w:tcW w:type="dxa" w:w="36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Standard case confidentiality</w:t>
            </w:r>
          </w:p>
        </w:tc>
        <w:tc>
          <w:tcPr>
            <w:tcW w:type="dxa" w:w="36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Heightened (POSH statutory confidentiality, restricted access)</w:t>
            </w:r>
          </w:p>
        </w:tc>
      </w:tr>
      <w:tr>
        <w:tc>
          <w:tcPr>
            <w:tcW w:type="dxa" w:w="20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Compliance clock</w:t>
            </w:r>
          </w:p>
        </w:tc>
        <w:tc>
          <w:tcPr>
            <w:tcW w:type="dxa" w:w="36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Per ruleset (e.g., 120-day mediation)</w:t>
            </w:r>
          </w:p>
        </w:tc>
        <w:tc>
          <w:tcPr>
            <w:tcW w:type="dxa" w:w="36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POSH 90-day inquiry; RBI 30-day grievance where applicable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2F8" w:sz="1"/>
              <w:left w:val="single" w:color="0E7C7B" w:sz="24"/>
              <w:bottom w:val="single" w:color="EAF2F8" w:sz="1"/>
              <w:right w:val="single" w:color="EAF2F8" w:sz="1"/>
            </w:tcBorders>
            <w:shd w:fill="EAF2F8" w:val="clear"/>
            <w:tcMar>
              <w:top w:type="dxa" w:w="120"/>
              <w:left w:type="dxa" w:w="160"/>
              <w:bottom w:type="dxa" w:w="120"/>
              <w:right w:type="dxa" w:w="160"/>
            </w:tcMar>
          </w:tcPr>
          <w:p>
            <w:pPr>
              <w:spacing w:after="60"/>
            </w:pPr>
            <w:r>
              <w:rPr>
                <w:b/>
                <w:bCs/>
                <w:color w:val="0B2A4A"/>
                <w:sz w:val="20"/>
                <w:szCs w:val="20"/>
              </w:rPr>
              <w:t xml:space="preserve">Build implication</w:t>
            </w:r>
          </w:p>
          <w:p>
            <w:pPr>
              <w:spacing w:after="0"/>
            </w:pPr>
            <w:r>
              <w:rPr>
                <w:color w:val="1F2937"/>
                <w:sz w:val="19"/>
                <w:szCs w:val="19"/>
              </w:rPr>
              <w:t xml:space="preserve">Pathway B requires a “grievance sub-domain” with its own confidentiality tier, IC role set and SHe-Box-style routing, plus a clean hand-off contract to EDRS when a matter is escalated. Treat it as a first-class module, not a variant of the commercial case type.</w:t>
            </w:r>
          </w:p>
        </w:tc>
      </w:tr>
    </w:tbl>
    <w:p>
      <w:r>
        <w:br w:type="page"/>
      </w:r>
    </w:p>
    <w:p>
      <w:pPr>
        <w:pStyle w:val="Heading1"/>
      </w:pPr>
      <w:r>
        <w:t xml:space="preserve">4. Dispute Typology &amp; Resolution Pathways</w:t>
      </w:r>
    </w:p>
    <w:p>
      <w:pPr>
        <w:spacing w:after="140" w:line="276"/>
      </w:pPr>
      <w:r>
        <w:t xml:space="preserve">Each dispute pillar has a canonical pathway. The engine treats a pathway as a configurable state machine (Section 6.4); the tables below are the product-level definitions the state machines implement.</w:t>
      </w:r>
    </w:p>
    <w:p>
      <w:pPr>
        <w:pStyle w:val="Heading2"/>
      </w:pPr>
      <w:r>
        <w:t xml:space="preserve">4.1 Family / Marital</w:t>
      </w:r>
    </w:p>
    <w:p>
      <w:pPr>
        <w:pStyle w:val="ListParagraph"/>
        <w:numPr>
          <w:ilvl w:val="0"/>
          <w:numId w:val="2"/>
        </w:numPr>
        <w:spacing w:after="60" w:line="270"/>
      </w:pPr>
      <w:r>
        <w:t xml:space="preserve">Primary mechanism: mediation (and conciliation), reflecting the relationship-preserving, child-sensitive nature of these disputes.</w:t>
      </w:r>
    </w:p>
    <w:p>
      <w:pPr>
        <w:pStyle w:val="ListParagraph"/>
        <w:numPr>
          <w:ilvl w:val="0"/>
          <w:numId w:val="2"/>
        </w:numPr>
        <w:spacing w:after="60" w:line="270"/>
      </w:pPr>
      <w:r>
        <w:t xml:space="preserve">Scope: divorce terms, maintenance / alimony, child custody and parenting plans, asset and debt division, matrimonial property, and related settlements.</w:t>
      </w:r>
    </w:p>
    <w:p>
      <w:pPr>
        <w:pStyle w:val="ListParagraph"/>
        <w:numPr>
          <w:ilvl w:val="0"/>
          <w:numId w:val="2"/>
        </w:numPr>
        <w:spacing w:after="60" w:line="270"/>
      </w:pPr>
      <w:r>
        <w:t xml:space="preserve">Optional arbitration: only for clearly arbitrable, monetisable sub-issues where parties consent (custody and status of marriage are generally non-arbitrable in India — encode as a non-arbitrable flag).</w:t>
      </w:r>
    </w:p>
    <w:p>
      <w:pPr>
        <w:pStyle w:val="ListParagraph"/>
        <w:numPr>
          <w:ilvl w:val="0"/>
          <w:numId w:val="2"/>
        </w:numPr>
        <w:spacing w:after="60" w:line="270"/>
      </w:pPr>
      <w:r>
        <w:t xml:space="preserve">Special features: parenting-plan builder (template with custody provisions), confidential caucus, optional counsellor / child-specialist participation, MSA (Mediated Settlement Agreement) generation.</w:t>
      </w:r>
    </w:p>
    <w:p>
      <w:pPr>
        <w:spacing w:after="80"/>
      </w:pPr>
      <w:r>
        <w:t xml:space="preserve"/>
      </w:r>
    </w:p>
    <w:p>
      <w:pPr>
        <w:pStyle w:val="Heading2"/>
      </w:pPr>
      <w:r>
        <w:t xml:space="preserve">4.2 NBFC ↔ Borrower (financial disputes)</w:t>
      </w:r>
    </w:p>
    <w:p>
      <w:pPr>
        <w:pStyle w:val="ListParagraph"/>
        <w:numPr>
          <w:ilvl w:val="0"/>
          <w:numId w:val="2"/>
        </w:numPr>
        <w:spacing w:after="60" w:line="270"/>
      </w:pPr>
      <w:r>
        <w:t xml:space="preserve">Mechanisms: conciliation first, then mediation or arbitration — modelled on the SEBI SMART ODR escalation ladder.</w:t>
      </w:r>
    </w:p>
    <w:p>
      <w:pPr>
        <w:pStyle w:val="ListParagraph"/>
        <w:numPr>
          <w:ilvl w:val="0"/>
          <w:numId w:val="2"/>
        </w:numPr>
        <w:spacing w:after="60" w:line="270"/>
      </w:pPr>
      <w:r>
        <w:t xml:space="preserve">Volume design: bulk intake (CSV / API) of defaulted or disputed loans, clause-driven auto-initiation, round-robin allocation to empanelled neutrals, templated notices and awards.</w:t>
      </w:r>
    </w:p>
    <w:p>
      <w:pPr>
        <w:pStyle w:val="ListParagraph"/>
        <w:numPr>
          <w:ilvl w:val="0"/>
          <w:numId w:val="2"/>
        </w:numPr>
        <w:spacing w:after="60" w:line="270"/>
      </w:pPr>
      <w:r>
        <w:t xml:space="preserve">RBI alignment: pre-agreed dispute-resolution clause in the loan agreement; nodal-officer intake; 30-day grievance SLA; escalation visibility to RBI CMS; borrower-consent and data-localisation logging.</w:t>
      </w:r>
    </w:p>
    <w:p>
      <w:pPr>
        <w:pStyle w:val="ListParagraph"/>
        <w:numPr>
          <w:ilvl w:val="0"/>
          <w:numId w:val="2"/>
        </w:numPr>
        <w:spacing w:after="60" w:line="270"/>
      </w:pPr>
      <w:r>
        <w:t xml:space="preserve">Recovery focus: settlement plans / instalment schedules, payment integration, and award-to-execution hand-off.</w:t>
      </w:r>
    </w:p>
    <w:p>
      <w:pPr>
        <w:spacing w:after="80"/>
      </w:pPr>
      <w:r>
        <w:t xml:space="preserve"/>
      </w:r>
    </w:p>
    <w:p>
      <w:pPr>
        <w:pStyle w:val="Heading2"/>
      </w:pPr>
      <w:r>
        <w:t xml:space="preserve">4.3 Business / Commercial, contractual &amp; transactional</w:t>
      </w:r>
    </w:p>
    <w:p>
      <w:pPr>
        <w:pStyle w:val="ListParagraph"/>
        <w:numPr>
          <w:ilvl w:val="0"/>
          <w:numId w:val="2"/>
        </w:numPr>
        <w:spacing w:after="60" w:line="270"/>
      </w:pPr>
      <w:r>
        <w:t xml:space="preserve">Mechanisms: mediation and / or arbitration, triggered by arbitration / mediation clauses in contracts, MoUs, or T&amp;Cs.</w:t>
      </w:r>
    </w:p>
    <w:p>
      <w:pPr>
        <w:pStyle w:val="ListParagraph"/>
        <w:numPr>
          <w:ilvl w:val="0"/>
          <w:numId w:val="2"/>
        </w:numPr>
        <w:spacing w:after="60" w:line="270"/>
      </w:pPr>
      <w:r>
        <w:t xml:space="preserve">Scope: B2B commercial disputes, contract performance, transactions and deals, MSME payments, services and supply, IP and shareholder matters (where arbitrable).</w:t>
      </w:r>
    </w:p>
    <w:p>
      <w:pPr>
        <w:pStyle w:val="ListParagraph"/>
        <w:numPr>
          <w:ilvl w:val="0"/>
          <w:numId w:val="2"/>
        </w:numPr>
        <w:spacing w:after="60" w:line="270"/>
      </w:pPr>
      <w:r>
        <w:t xml:space="preserve">Features: clause library and clause generator, multi-party / multi-contract handling, tribunal constitution (sole / panel of three), document-heavy evidence management, reasoned-award workflow.</w:t>
      </w:r>
    </w:p>
    <w:p>
      <w:pPr>
        <w:spacing w:after="80"/>
      </w:pPr>
      <w:r>
        <w:t xml:space="preserve"/>
      </w:r>
    </w:p>
    <w:p>
      <w:pPr>
        <w:pStyle w:val="Heading2"/>
      </w:pPr>
      <w:r>
        <w:t xml:space="preserve">4.4 Enterprise grievance &amp; POSH</w:t>
      </w:r>
    </w:p>
    <w:p>
      <w:pPr>
        <w:pStyle w:val="ListParagraph"/>
        <w:numPr>
          <w:ilvl w:val="0"/>
          <w:numId w:val="2"/>
        </w:numPr>
        <w:spacing w:after="60" w:line="270"/>
      </w:pPr>
      <w:r>
        <w:t xml:space="preserve">Mechanism: internal redressal by the company IC / grievance officer; escalation to EDRS for mediation / arbitration where permitted and appropriate.</w:t>
      </w:r>
    </w:p>
    <w:p>
      <w:pPr>
        <w:pStyle w:val="ListParagraph"/>
        <w:numPr>
          <w:ilvl w:val="0"/>
          <w:numId w:val="2"/>
        </w:numPr>
        <w:spacing w:after="60" w:line="270"/>
      </w:pPr>
      <w:r>
        <w:t xml:space="preserve">POSH specifics: IC constitution (≥50% women, external member), 90-day inquiry clock, strict confidentiality, recommendation and action tracking, annual-report support.</w:t>
      </w:r>
    </w:p>
    <w:p>
      <w:pPr>
        <w:pStyle w:val="ListParagraph"/>
        <w:numPr>
          <w:ilvl w:val="0"/>
          <w:numId w:val="2"/>
        </w:numPr>
        <w:spacing w:after="60" w:line="270"/>
      </w:pPr>
      <w:r>
        <w:t xml:space="preserve">General grievance: configurable categories, SLA timers, anonymity options, whistle-blower handling, and audit trail.</w:t>
      </w:r>
    </w:p>
    <w:p>
      <w:pPr>
        <w:spacing w:after="80"/>
      </w:pPr>
      <w:r>
        <w:t xml:space="preserve"/>
      </w:r>
    </w:p>
    <w:p>
      <w:pPr>
        <w:pStyle w:val="Heading2"/>
      </w:pPr>
      <w:r>
        <w:t xml:space="preserve">4.5 Pathway comparison (the resolution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360"/>
        <w:gridCol w:w="1900"/>
        <w:gridCol w:w="1900"/>
      </w:tblGrid>
      <w:tr>
        <w:trPr>
          <w:tblHeader/>
        </w:trPr>
        <w:tc>
          <w:tcPr>
            <w:tcW w:type="dxa" w:w="13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6"/>
                <w:szCs w:val="16"/>
              </w:rPr>
              <w:t xml:space="preserve">Stage</w:t>
            </w:r>
          </w:p>
        </w:tc>
        <w:tc>
          <w:tcPr>
            <w:tcW w:type="dxa" w:w="19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6"/>
                <w:szCs w:val="16"/>
              </w:rPr>
              <w:t xml:space="preserve">Family</w:t>
            </w:r>
          </w:p>
        </w:tc>
        <w:tc>
          <w:tcPr>
            <w:tcW w:type="dxa" w:w="236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6"/>
                <w:szCs w:val="16"/>
              </w:rPr>
              <w:t xml:space="preserve">NBFC ↔ Borrower</w:t>
            </w:r>
          </w:p>
        </w:tc>
        <w:tc>
          <w:tcPr>
            <w:tcW w:type="dxa" w:w="19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6"/>
                <w:szCs w:val="16"/>
              </w:rPr>
              <w:t xml:space="preserve">Commercial</w:t>
            </w:r>
          </w:p>
        </w:tc>
        <w:tc>
          <w:tcPr>
            <w:tcW w:type="dxa" w:w="19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6"/>
                <w:szCs w:val="16"/>
              </w:rPr>
              <w:t xml:space="preserve">Grievance / POSH</w:t>
            </w:r>
          </w:p>
        </w:tc>
      </w:tr>
      <w:tr>
        <w:tc>
          <w:tcPr>
            <w:tcW w:type="dxa" w:w="13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Intake</w:t>
            </w:r>
          </w:p>
        </w:tc>
        <w:tc>
          <w:tcPr>
            <w:tcW w:type="dxa" w:w="19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Self / counsel</w:t>
            </w:r>
          </w:p>
        </w:tc>
        <w:tc>
          <w:tcPr>
            <w:tcW w:type="dxa" w:w="23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Bulk / clause / borrower</w:t>
            </w:r>
          </w:p>
        </w:tc>
        <w:tc>
          <w:tcPr>
            <w:tcW w:type="dxa" w:w="19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Clause / mutual</w:t>
            </w:r>
          </w:p>
        </w:tc>
        <w:tc>
          <w:tcPr>
            <w:tcW w:type="dxa" w:w="19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Employee complaint</w:t>
            </w:r>
          </w:p>
        </w:tc>
      </w:tr>
      <w:tr>
        <w:tc>
          <w:tcPr>
            <w:tcW w:type="dxa" w:w="13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Triage</w:t>
            </w:r>
          </w:p>
        </w:tc>
        <w:tc>
          <w:tcPr>
            <w:tcW w:type="dxa" w:w="19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Case manager</w:t>
            </w:r>
          </w:p>
        </w:tc>
        <w:tc>
          <w:tcPr>
            <w:tcW w:type="dxa" w:w="23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Auto + nodal officer</w:t>
            </w:r>
          </w:p>
        </w:tc>
        <w:tc>
          <w:tcPr>
            <w:tcW w:type="dxa" w:w="19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Case manager</w:t>
            </w:r>
          </w:p>
        </w:tc>
        <w:tc>
          <w:tcPr>
            <w:tcW w:type="dxa" w:w="19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IC / grievance officer</w:t>
            </w:r>
          </w:p>
        </w:tc>
      </w:tr>
      <w:tr>
        <w:tc>
          <w:tcPr>
            <w:tcW w:type="dxa" w:w="13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Stage 1</w:t>
            </w:r>
          </w:p>
        </w:tc>
        <w:tc>
          <w:tcPr>
            <w:tcW w:type="dxa" w:w="19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Mediation</w:t>
            </w:r>
          </w:p>
        </w:tc>
        <w:tc>
          <w:tcPr>
            <w:tcW w:type="dxa" w:w="23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Conciliation (free window)</w:t>
            </w:r>
          </w:p>
        </w:tc>
        <w:tc>
          <w:tcPr>
            <w:tcW w:type="dxa" w:w="19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Mediation (if agreed)</w:t>
            </w:r>
          </w:p>
        </w:tc>
        <w:tc>
          <w:tcPr>
            <w:tcW w:type="dxa" w:w="19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Internal inquiry</w:t>
            </w:r>
          </w:p>
        </w:tc>
      </w:tr>
      <w:tr>
        <w:tc>
          <w:tcPr>
            <w:tcW w:type="dxa" w:w="13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Stage 2</w:t>
            </w:r>
          </w:p>
        </w:tc>
        <w:tc>
          <w:tcPr>
            <w:tcW w:type="dxa" w:w="19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w:t>
            </w:r>
          </w:p>
        </w:tc>
        <w:tc>
          <w:tcPr>
            <w:tcW w:type="dxa" w:w="23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Mediation / Arbitration</w:t>
            </w:r>
          </w:p>
        </w:tc>
        <w:tc>
          <w:tcPr>
            <w:tcW w:type="dxa" w:w="19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Arbitration</w:t>
            </w:r>
          </w:p>
        </w:tc>
        <w:tc>
          <w:tcPr>
            <w:tcW w:type="dxa" w:w="19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Escalation to EDRS</w:t>
            </w:r>
          </w:p>
        </w:tc>
      </w:tr>
      <w:tr>
        <w:tc>
          <w:tcPr>
            <w:tcW w:type="dxa" w:w="13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Outcome</w:t>
            </w:r>
          </w:p>
        </w:tc>
        <w:tc>
          <w:tcPr>
            <w:tcW w:type="dxa" w:w="19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MSA / withdrawal</w:t>
            </w:r>
          </w:p>
        </w:tc>
        <w:tc>
          <w:tcPr>
            <w:tcW w:type="dxa" w:w="23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Settlement / award</w:t>
            </w:r>
          </w:p>
        </w:tc>
        <w:tc>
          <w:tcPr>
            <w:tcW w:type="dxa" w:w="19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Settlement / award</w:t>
            </w:r>
          </w:p>
        </w:tc>
        <w:tc>
          <w:tcPr>
            <w:tcW w:type="dxa" w:w="19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IC report / award</w:t>
            </w:r>
          </w:p>
        </w:tc>
      </w:tr>
      <w:tr>
        <w:tc>
          <w:tcPr>
            <w:tcW w:type="dxa" w:w="13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Enforcement</w:t>
            </w:r>
          </w:p>
        </w:tc>
        <w:tc>
          <w:tcPr>
            <w:tcW w:type="dxa" w:w="19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Decree (S.27 Med. Act)</w:t>
            </w:r>
          </w:p>
        </w:tc>
        <w:tc>
          <w:tcPr>
            <w:tcW w:type="dxa" w:w="23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Award as decree</w:t>
            </w:r>
          </w:p>
        </w:tc>
        <w:tc>
          <w:tcPr>
            <w:tcW w:type="dxa" w:w="19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Award as decree</w:t>
            </w:r>
          </w:p>
        </w:tc>
        <w:tc>
          <w:tcPr>
            <w:tcW w:type="dxa" w:w="19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Action + escalation</w:t>
            </w:r>
          </w:p>
        </w:tc>
      </w:tr>
    </w:tbl>
    <w:p>
      <w:r>
        <w:br w:type="page"/>
      </w:r>
    </w:p>
    <w:p>
      <w:pPr>
        <w:pStyle w:val="Heading1"/>
      </w:pPr>
      <w:r>
        <w:t xml:space="preserve">5. Solution Overview &amp; Architecture Principles</w:t>
      </w:r>
    </w:p>
    <w:p>
      <w:pPr>
        <w:pStyle w:val="Heading2"/>
      </w:pPr>
      <w:r>
        <w:t xml:space="preserve">5.1 Conceptual overview</w:t>
      </w:r>
    </w:p>
    <w:p>
      <w:pPr>
        <w:spacing w:after="140" w:line="276"/>
      </w:pPr>
      <w:r>
        <w:t xml:space="preserve">Equator is a layered platform. A thin set of channel apps (web portals, mobile, embeds) sits over an API gateway, which fronts a set of domain services organised around the case lifecycle. Cross-cutting platform services (identity, documents, payments, notifications, video, AI, audit) are shared by all domains. A configuration plane (rulesets, templates, fee schedules, panels) makes the same engine behave correctly per pillar and per jurisdiction. (See the Architecture Diagrams deliverable for the visual.)</w:t>
      </w:r>
    </w:p>
    <w:p>
      <w:pPr>
        <w:pStyle w:val="Heading2"/>
      </w:pPr>
      <w:r>
        <w:t xml:space="preserve">5.2 Architecture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6160"/>
      </w:tblGrid>
      <w:tr>
        <w:trPr>
          <w:tblHeader/>
        </w:trPr>
        <w:tc>
          <w:tcPr>
            <w:tcW w:type="dxa" w:w="5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8"/>
                <w:szCs w:val="18"/>
              </w:rPr>
              <w:t xml:space="preserve">#</w:t>
            </w:r>
          </w:p>
        </w:tc>
        <w:tc>
          <w:tcPr>
            <w:tcW w:type="dxa" w:w="27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8"/>
                <w:szCs w:val="18"/>
              </w:rPr>
              <w:t xml:space="preserve">Principle</w:t>
            </w:r>
          </w:p>
        </w:tc>
        <w:tc>
          <w:tcPr>
            <w:tcW w:type="dxa" w:w="616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8"/>
                <w:szCs w:val="18"/>
              </w:rPr>
              <w:t xml:space="preserve">What it means in practice</w:t>
            </w:r>
          </w:p>
        </w:tc>
      </w:tr>
      <w:tr>
        <w:tc>
          <w:tcPr>
            <w:tcW w:type="dxa" w:w="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1</w:t>
            </w:r>
          </w:p>
        </w:tc>
        <w:tc>
          <w:tcPr>
            <w:tcW w:type="dxa" w:w="2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API-first</w:t>
            </w:r>
          </w:p>
        </w:tc>
        <w:tc>
          <w:tcPr>
            <w:tcW w:type="dxa" w:w="61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Every capability is a documented API before it is a screen; enables embeds, white-label and bulk lender integration.</w:t>
            </w:r>
          </w:p>
        </w:tc>
      </w:tr>
      <w:tr>
        <w:tc>
          <w:tcPr>
            <w:tcW w:type="dxa" w:w="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2</w:t>
            </w:r>
          </w:p>
        </w:tc>
        <w:tc>
          <w:tcPr>
            <w:tcW w:type="dxa" w:w="2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Multi-tenant by design</w:t>
            </w:r>
          </w:p>
        </w:tc>
        <w:tc>
          <w:tcPr>
            <w:tcW w:type="dxa" w:w="61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Strong tenant isolation (EDRS, each Private Court, each enterprise) with shared engine and per-tenant configuration.</w:t>
            </w:r>
          </w:p>
        </w:tc>
      </w:tr>
      <w:tr>
        <w:tc>
          <w:tcPr>
            <w:tcW w:type="dxa" w:w="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3</w:t>
            </w:r>
          </w:p>
        </w:tc>
        <w:tc>
          <w:tcPr>
            <w:tcW w:type="dxa" w:w="2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Configuration over code</w:t>
            </w:r>
          </w:p>
        </w:tc>
        <w:tc>
          <w:tcPr>
            <w:tcW w:type="dxa" w:w="61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Timelines, panels, fees, templates, notices and pathways are data, not hard-coded — the basis for multi-jurisdiction.</w:t>
            </w:r>
          </w:p>
        </w:tc>
      </w:tr>
      <w:tr>
        <w:tc>
          <w:tcPr>
            <w:tcW w:type="dxa" w:w="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4</w:t>
            </w:r>
          </w:p>
        </w:tc>
        <w:tc>
          <w:tcPr>
            <w:tcW w:type="dxa" w:w="2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Confidentiality tiers</w:t>
            </w:r>
          </w:p>
        </w:tc>
        <w:tc>
          <w:tcPr>
            <w:tcW w:type="dxa" w:w="61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Every case carries a confidentiality tier that drives encryption, access and redaction (POSH / marital = highest).</w:t>
            </w:r>
          </w:p>
        </w:tc>
      </w:tr>
      <w:tr>
        <w:tc>
          <w:tcPr>
            <w:tcW w:type="dxa" w:w="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5</w:t>
            </w:r>
          </w:p>
        </w:tc>
        <w:tc>
          <w:tcPr>
            <w:tcW w:type="dxa" w:w="2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Immutable audit</w:t>
            </w:r>
          </w:p>
        </w:tc>
        <w:tc>
          <w:tcPr>
            <w:tcW w:type="dxa" w:w="61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Every material action is recorded in an append-only, tamper-evident audit log (hash-chained / WORM).</w:t>
            </w:r>
          </w:p>
        </w:tc>
      </w:tr>
      <w:tr>
        <w:tc>
          <w:tcPr>
            <w:tcW w:type="dxa" w:w="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6</w:t>
            </w:r>
          </w:p>
        </w:tc>
        <w:tc>
          <w:tcPr>
            <w:tcW w:type="dxa" w:w="2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Event-driven core</w:t>
            </w:r>
          </w:p>
        </w:tc>
        <w:tc>
          <w:tcPr>
            <w:tcW w:type="dxa" w:w="61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Domain events (CaseFiled, NeutralAppointed, AwardSigned…) drive notifications, SLAs, analytics and integrations.</w:t>
            </w:r>
          </w:p>
        </w:tc>
      </w:tr>
      <w:tr>
        <w:tc>
          <w:tcPr>
            <w:tcW w:type="dxa" w:w="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7</w:t>
            </w:r>
          </w:p>
        </w:tc>
        <w:tc>
          <w:tcPr>
            <w:tcW w:type="dxa" w:w="2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Privacy &amp; data residency</w:t>
            </w:r>
          </w:p>
        </w:tc>
        <w:tc>
          <w:tcPr>
            <w:tcW w:type="dxa" w:w="61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DPDP-compliant; India data stays in India; per-jurisdiction residency zones for global expansion.</w:t>
            </w:r>
          </w:p>
        </w:tc>
      </w:tr>
      <w:tr>
        <w:tc>
          <w:tcPr>
            <w:tcW w:type="dxa" w:w="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8</w:t>
            </w:r>
          </w:p>
        </w:tc>
        <w:tc>
          <w:tcPr>
            <w:tcW w:type="dxa" w:w="2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Human-in-the-loop AI</w:t>
            </w:r>
          </w:p>
        </w:tc>
        <w:tc>
          <w:tcPr>
            <w:tcW w:type="dxa" w:w="61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AI assists (triage, summarisation, drafting) but never decides; all AI output is reviewable and attributed.</w:t>
            </w:r>
          </w:p>
        </w:tc>
      </w:tr>
      <w:tr>
        <w:tc>
          <w:tcPr>
            <w:tcW w:type="dxa" w:w="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9</w:t>
            </w:r>
          </w:p>
        </w:tc>
        <w:tc>
          <w:tcPr>
            <w:tcW w:type="dxa" w:w="2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Accessibility &amp; vernacular</w:t>
            </w:r>
          </w:p>
        </w:tc>
        <w:tc>
          <w:tcPr>
            <w:tcW w:type="dxa" w:w="61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WCAG-aligned, multilingual (English + Indian languages), low-bandwidth modes for access to justice.</w:t>
            </w:r>
          </w:p>
        </w:tc>
      </w:tr>
      <w:tr>
        <w:tc>
          <w:tcPr>
            <w:tcW w:type="dxa" w:w="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10</w:t>
            </w:r>
          </w:p>
        </w:tc>
        <w:tc>
          <w:tcPr>
            <w:tcW w:type="dxa" w:w="2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Security &amp; compliance by default</w:t>
            </w:r>
          </w:p>
        </w:tc>
        <w:tc>
          <w:tcPr>
            <w:tcW w:type="dxa" w:w="61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Encryption everywhere, least privilege, SOC 2 / ISO 27001 trajectory, e-sign and e-stamp integrity.</w:t>
            </w:r>
          </w:p>
        </w:tc>
      </w:tr>
    </w:tbl>
    <w:p>
      <w:pPr>
        <w:spacing w:after="80"/>
      </w:pPr>
      <w:r>
        <w:t xml:space="preserve"/>
      </w:r>
    </w:p>
    <w:p>
      <w:pPr>
        <w:pStyle w:val="Heading2"/>
      </w:pPr>
      <w:r>
        <w:t xml:space="preserve">5.3 Quality attributes (non-functional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8"/>
                <w:szCs w:val="18"/>
              </w:rPr>
              <w:t xml:space="preserve">Attribute</w:t>
            </w:r>
          </w:p>
        </w:tc>
        <w:tc>
          <w:tcPr>
            <w:tcW w:type="dxa" w:w="696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8"/>
                <w:szCs w:val="18"/>
              </w:rPr>
              <w:t xml:space="preserve">Target / approach</w:t>
            </w:r>
          </w:p>
        </w:tc>
      </w:tr>
      <w:tr>
        <w:tc>
          <w:tcPr>
            <w:tcW w:type="dxa" w:w="24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8"/>
                <w:szCs w:val="18"/>
              </w:rPr>
              <w:t xml:space="preserve">Availability</w:t>
            </w:r>
          </w:p>
        </w:tc>
        <w:tc>
          <w:tcPr>
            <w:tcW w:type="dxa" w:w="69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8"/>
                <w:szCs w:val="18"/>
              </w:rPr>
              <w:t xml:space="preserve">99.9% for core case services; multi-AZ; graceful degradation of non-critical features.</w:t>
            </w:r>
          </w:p>
        </w:tc>
      </w:tr>
      <w:tr>
        <w:tc>
          <w:tcPr>
            <w:tcW w:type="dxa" w:w="24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8"/>
                <w:szCs w:val="18"/>
              </w:rPr>
              <w:t xml:space="preserve">Scalability</w:t>
            </w:r>
          </w:p>
        </w:tc>
        <w:tc>
          <w:tcPr>
            <w:tcW w:type="dxa" w:w="69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8"/>
                <w:szCs w:val="18"/>
              </w:rPr>
              <w:t xml:space="preserve">Horizontal scaling of stateless services; queue-based bulk intake for NBFC volume.</w:t>
            </w:r>
          </w:p>
        </w:tc>
      </w:tr>
      <w:tr>
        <w:tc>
          <w:tcPr>
            <w:tcW w:type="dxa" w:w="24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8"/>
                <w:szCs w:val="18"/>
              </w:rPr>
              <w:t xml:space="preserve">Performance</w:t>
            </w:r>
          </w:p>
        </w:tc>
        <w:tc>
          <w:tcPr>
            <w:tcW w:type="dxa" w:w="69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8"/>
                <w:szCs w:val="18"/>
              </w:rPr>
              <w:t xml:space="preserve">Interactive APIs p95 &lt; 400 ms; hearing / video join &lt; 3 s; bulk import async.</w:t>
            </w:r>
          </w:p>
        </w:tc>
      </w:tr>
      <w:tr>
        <w:tc>
          <w:tcPr>
            <w:tcW w:type="dxa" w:w="24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8"/>
                <w:szCs w:val="18"/>
              </w:rPr>
              <w:t xml:space="preserve">Security</w:t>
            </w:r>
          </w:p>
        </w:tc>
        <w:tc>
          <w:tcPr>
            <w:tcW w:type="dxa" w:w="69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8"/>
                <w:szCs w:val="18"/>
              </w:rPr>
              <w:t xml:space="preserve">Encryption in transit (TLS 1.2+) and at rest (AES-256); KMS-managed keys; MFA for staff &amp; neutrals.</w:t>
            </w:r>
          </w:p>
        </w:tc>
      </w:tr>
      <w:tr>
        <w:tc>
          <w:tcPr>
            <w:tcW w:type="dxa" w:w="24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8"/>
                <w:szCs w:val="18"/>
              </w:rPr>
              <w:t xml:space="preserve">Auditability</w:t>
            </w:r>
          </w:p>
        </w:tc>
        <w:tc>
          <w:tcPr>
            <w:tcW w:type="dxa" w:w="69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8"/>
                <w:szCs w:val="18"/>
              </w:rPr>
              <w:t xml:space="preserve">100% of state transitions and document events logged immutably with actor, time, IP, and hash.</w:t>
            </w:r>
          </w:p>
        </w:tc>
      </w:tr>
      <w:tr>
        <w:tc>
          <w:tcPr>
            <w:tcW w:type="dxa" w:w="24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8"/>
                <w:szCs w:val="18"/>
              </w:rPr>
              <w:t xml:space="preserve">Recoverability</w:t>
            </w:r>
          </w:p>
        </w:tc>
        <w:tc>
          <w:tcPr>
            <w:tcW w:type="dxa" w:w="69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8"/>
                <w:szCs w:val="18"/>
              </w:rPr>
              <w:t xml:space="preserve">RPO ≤ 15 min, RTO ≤ 2 h for core; tested DR; point-in-time DB recovery.</w:t>
            </w:r>
          </w:p>
        </w:tc>
      </w:tr>
      <w:tr>
        <w:tc>
          <w:tcPr>
            <w:tcW w:type="dxa" w:w="24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8"/>
                <w:szCs w:val="18"/>
              </w:rPr>
              <w:t xml:space="preserve">Compliance</w:t>
            </w:r>
          </w:p>
        </w:tc>
        <w:tc>
          <w:tcPr>
            <w:tcW w:type="dxa" w:w="69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8"/>
                <w:szCs w:val="18"/>
              </w:rPr>
              <w:t xml:space="preserve">DPDP, IT Act, RBI, POSH, Mediation Act, A&amp;C Act mapped to controls (Section 12).</w:t>
            </w:r>
          </w:p>
        </w:tc>
      </w:tr>
      <w:tr>
        <w:tc>
          <w:tcPr>
            <w:tcW w:type="dxa" w:w="24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8"/>
                <w:szCs w:val="18"/>
              </w:rPr>
              <w:t xml:space="preserve">Interoperability</w:t>
            </w:r>
          </w:p>
        </w:tc>
        <w:tc>
          <w:tcPr>
            <w:tcW w:type="dxa" w:w="69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8"/>
                <w:szCs w:val="18"/>
              </w:rPr>
              <w:t xml:space="preserve">Open APIs; webhooks; standards-based e-sign; e-Daakhil / CMS interop where relevant.</w:t>
            </w:r>
          </w:p>
        </w:tc>
      </w:tr>
    </w:tbl>
    <w:p>
      <w:r>
        <w:br w:type="page"/>
      </w:r>
    </w:p>
    <w:p>
      <w:pPr>
        <w:pStyle w:val="Heading1"/>
      </w:pPr>
      <w:r>
        <w:t xml:space="preserve">6. Functional &amp; Application Architecture</w:t>
      </w:r>
    </w:p>
    <w:p>
      <w:pPr>
        <w:spacing w:after="140" w:line="276"/>
      </w:pPr>
      <w:r>
        <w:t xml:space="preserve">This section decomposes the platform into functional modules and then into deployable services. The decomposition is domain-driven: services are organised around the case lifecycle and the supply / demand actors, not around screens.</w:t>
      </w:r>
    </w:p>
    <w:p>
      <w:pPr>
        <w:pStyle w:val="Heading2"/>
      </w:pPr>
      <w:r>
        <w:t xml:space="preserve">6.1 Functional module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850"/>
        <w:gridCol w:w="5260"/>
      </w:tblGrid>
      <w:tr>
        <w:trPr>
          <w:tblHeader/>
        </w:trPr>
        <w:tc>
          <w:tcPr>
            <w:tcW w:type="dxa" w:w="125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7"/>
                <w:szCs w:val="17"/>
              </w:rPr>
              <w:t xml:space="preserve">Domain</w:t>
            </w:r>
          </w:p>
        </w:tc>
        <w:tc>
          <w:tcPr>
            <w:tcW w:type="dxa" w:w="285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7"/>
                <w:szCs w:val="17"/>
              </w:rPr>
              <w:t xml:space="preserve">Module</w:t>
            </w:r>
          </w:p>
        </w:tc>
        <w:tc>
          <w:tcPr>
            <w:tcW w:type="dxa" w:w="526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7"/>
                <w:szCs w:val="17"/>
              </w:rPr>
              <w:t xml:space="preserve">Responsibility</w:t>
            </w:r>
          </w:p>
        </w:tc>
      </w:tr>
      <w:tr>
        <w:tc>
          <w:tcPr>
            <w:tcW w:type="dxa" w:w="12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Access</w:t>
            </w:r>
          </w:p>
        </w:tc>
        <w:tc>
          <w:tcPr>
            <w:tcW w:type="dxa" w:w="28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Identity &amp; Access (IAM)</w:t>
            </w:r>
          </w:p>
        </w:tc>
        <w:tc>
          <w:tcPr>
            <w:tcW w:type="dxa" w:w="52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Registration, login, MFA, roles, tenant scoping, KYC linkage.</w:t>
            </w:r>
          </w:p>
        </w:tc>
      </w:tr>
      <w:tr>
        <w:tc>
          <w:tcPr>
            <w:tcW w:type="dxa" w:w="12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Access</w:t>
            </w:r>
          </w:p>
        </w:tc>
        <w:tc>
          <w:tcPr>
            <w:tcW w:type="dxa" w:w="28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Onboarding &amp; KYC/KYB</w:t>
            </w:r>
          </w:p>
        </w:tc>
        <w:tc>
          <w:tcPr>
            <w:tcW w:type="dxa" w:w="52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Party, neutral, case-manager, enterprise onboarding; verification; empanelment.</w:t>
            </w:r>
          </w:p>
        </w:tc>
      </w:tr>
      <w:tr>
        <w:tc>
          <w:tcPr>
            <w:tcW w:type="dxa" w:w="12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Intake</w:t>
            </w:r>
          </w:p>
        </w:tc>
        <w:tc>
          <w:tcPr>
            <w:tcW w:type="dxa" w:w="28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Complaint / Case Intake</w:t>
            </w:r>
          </w:p>
        </w:tc>
        <w:tc>
          <w:tcPr>
            <w:tcW w:type="dxa" w:w="52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Guided filing, clause-based &amp; bulk intake, fee calc, jurisdiction &amp; arbitrability checks.</w:t>
            </w:r>
          </w:p>
        </w:tc>
      </w:tr>
      <w:tr>
        <w:tc>
          <w:tcPr>
            <w:tcW w:type="dxa" w:w="12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Intake</w:t>
            </w:r>
          </w:p>
        </w:tc>
        <w:tc>
          <w:tcPr>
            <w:tcW w:type="dxa" w:w="28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Clause Library &amp; Generator</w:t>
            </w:r>
          </w:p>
        </w:tc>
        <w:tc>
          <w:tcPr>
            <w:tcW w:type="dxa" w:w="52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Model arbitration / mediation clauses; embed in contracts, MoUs, T&amp;Cs.</w:t>
            </w:r>
          </w:p>
        </w:tc>
      </w:tr>
      <w:tr>
        <w:tc>
          <w:tcPr>
            <w:tcW w:type="dxa" w:w="12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Case</w:t>
            </w:r>
          </w:p>
        </w:tc>
        <w:tc>
          <w:tcPr>
            <w:tcW w:type="dxa" w:w="28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Case Management Core</w:t>
            </w:r>
          </w:p>
        </w:tc>
        <w:tc>
          <w:tcPr>
            <w:tcW w:type="dxa" w:w="52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Case record, parties, state machine, timeline / SLA clock, orders &amp; directions.</w:t>
            </w:r>
          </w:p>
        </w:tc>
      </w:tr>
      <w:tr>
        <w:tc>
          <w:tcPr>
            <w:tcW w:type="dxa" w:w="12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Case</w:t>
            </w:r>
          </w:p>
        </w:tc>
        <w:tc>
          <w:tcPr>
            <w:tcW w:type="dxa" w:w="28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Neutral Allocation &amp; Panels</w:t>
            </w:r>
          </w:p>
        </w:tc>
        <w:tc>
          <w:tcPr>
            <w:tcW w:type="dxa" w:w="52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Empanelment registry, conflict checks, round-robin / rules-based allocation.</w:t>
            </w:r>
          </w:p>
        </w:tc>
      </w:tr>
      <w:tr>
        <w:tc>
          <w:tcPr>
            <w:tcW w:type="dxa" w:w="12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Case</w:t>
            </w:r>
          </w:p>
        </w:tc>
        <w:tc>
          <w:tcPr>
            <w:tcW w:type="dxa" w:w="28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Hearing &amp; Calendar</w:t>
            </w:r>
          </w:p>
        </w:tc>
        <w:tc>
          <w:tcPr>
            <w:tcW w:type="dxa" w:w="52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Scheduling, video hearings, e-notices, attendance, recording controls.</w:t>
            </w:r>
          </w:p>
        </w:tc>
      </w:tr>
      <w:tr>
        <w:tc>
          <w:tcPr>
            <w:tcW w:type="dxa" w:w="12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Case</w:t>
            </w:r>
          </w:p>
        </w:tc>
        <w:tc>
          <w:tcPr>
            <w:tcW w:type="dxa" w:w="28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Document &amp; Evidence</w:t>
            </w:r>
          </w:p>
        </w:tc>
        <w:tc>
          <w:tcPr>
            <w:tcW w:type="dxa" w:w="52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Secure upload, versioning, bundle / paperbook, redaction, retention.</w:t>
            </w:r>
          </w:p>
        </w:tc>
      </w:tr>
      <w:tr>
        <w:tc>
          <w:tcPr>
            <w:tcW w:type="dxa" w:w="12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Case</w:t>
            </w:r>
          </w:p>
        </w:tc>
        <w:tc>
          <w:tcPr>
            <w:tcW w:type="dxa" w:w="28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e-Signature &amp; e-Stamp</w:t>
            </w:r>
          </w:p>
        </w:tc>
        <w:tc>
          <w:tcPr>
            <w:tcW w:type="dxa" w:w="52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Award / MSA signing, stamping, certificate of authenticity.</w:t>
            </w:r>
          </w:p>
        </w:tc>
      </w:tr>
      <w:tr>
        <w:tc>
          <w:tcPr>
            <w:tcW w:type="dxa" w:w="12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Resolution</w:t>
            </w:r>
          </w:p>
        </w:tc>
        <w:tc>
          <w:tcPr>
            <w:tcW w:type="dxa" w:w="28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Mediation Workspace</w:t>
            </w:r>
          </w:p>
        </w:tc>
        <w:tc>
          <w:tcPr>
            <w:tcW w:type="dxa" w:w="52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Joint &amp; caucus rooms, settlement drafting, MSA generation.</w:t>
            </w:r>
          </w:p>
        </w:tc>
      </w:tr>
      <w:tr>
        <w:tc>
          <w:tcPr>
            <w:tcW w:type="dxa" w:w="12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Resolution</w:t>
            </w:r>
          </w:p>
        </w:tc>
        <w:tc>
          <w:tcPr>
            <w:tcW w:type="dxa" w:w="28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Arbitration Workspace</w:t>
            </w:r>
          </w:p>
        </w:tc>
        <w:tc>
          <w:tcPr>
            <w:tcW w:type="dxa" w:w="52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Pleadings, tribunal orders, award drafting, Section 29A clock.</w:t>
            </w:r>
          </w:p>
        </w:tc>
      </w:tr>
      <w:tr>
        <w:tc>
          <w:tcPr>
            <w:tcW w:type="dxa" w:w="12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Resolution</w:t>
            </w:r>
          </w:p>
        </w:tc>
        <w:tc>
          <w:tcPr>
            <w:tcW w:type="dxa" w:w="28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Conciliation / Negotiation</w:t>
            </w:r>
          </w:p>
        </w:tc>
        <w:tc>
          <w:tcPr>
            <w:tcW w:type="dxa" w:w="52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Structured offers, blind-bidding, auto-settlement for money claims.</w:t>
            </w:r>
          </w:p>
        </w:tc>
      </w:tr>
      <w:tr>
        <w:tc>
          <w:tcPr>
            <w:tcW w:type="dxa" w:w="12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Grievance</w:t>
            </w:r>
          </w:p>
        </w:tc>
        <w:tc>
          <w:tcPr>
            <w:tcW w:type="dxa" w:w="28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Enterprise Grievance &amp; POSH</w:t>
            </w:r>
          </w:p>
        </w:tc>
        <w:tc>
          <w:tcPr>
            <w:tcW w:type="dxa" w:w="52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IC workflow, confidential inquiry, SLA, escalation to EDRS.</w:t>
            </w:r>
          </w:p>
        </w:tc>
      </w:tr>
      <w:tr>
        <w:tc>
          <w:tcPr>
            <w:tcW w:type="dxa" w:w="12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Supply</w:t>
            </w:r>
          </w:p>
        </w:tc>
        <w:tc>
          <w:tcPr>
            <w:tcW w:type="dxa" w:w="28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Equator Academy (LMS)</w:t>
            </w:r>
          </w:p>
        </w:tc>
        <w:tc>
          <w:tcPr>
            <w:tcW w:type="dxa" w:w="52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Courses, assessments, certification, CPD, trainer tools.</w:t>
            </w:r>
          </w:p>
        </w:tc>
      </w:tr>
      <w:tr>
        <w:tc>
          <w:tcPr>
            <w:tcW w:type="dxa" w:w="12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Money</w:t>
            </w:r>
          </w:p>
        </w:tc>
        <w:tc>
          <w:tcPr>
            <w:tcW w:type="dxa" w:w="28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Billing, Payments &amp; Payouts</w:t>
            </w:r>
          </w:p>
        </w:tc>
        <w:tc>
          <w:tcPr>
            <w:tcW w:type="dxa" w:w="52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Fee schedules, invoices, escrow / settlement payments, neutral payouts.</w:t>
            </w:r>
          </w:p>
        </w:tc>
      </w:tr>
      <w:tr>
        <w:tc>
          <w:tcPr>
            <w:tcW w:type="dxa" w:w="12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Engagement</w:t>
            </w:r>
          </w:p>
        </w:tc>
        <w:tc>
          <w:tcPr>
            <w:tcW w:type="dxa" w:w="28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Notifications &amp; Comms</w:t>
            </w:r>
          </w:p>
        </w:tc>
        <w:tc>
          <w:tcPr>
            <w:tcW w:type="dxa" w:w="52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Email / SMS / WhatsApp / in-app; statutory notices; reminders.</w:t>
            </w:r>
          </w:p>
        </w:tc>
      </w:tr>
      <w:tr>
        <w:tc>
          <w:tcPr>
            <w:tcW w:type="dxa" w:w="12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Intelligence</w:t>
            </w:r>
          </w:p>
        </w:tc>
        <w:tc>
          <w:tcPr>
            <w:tcW w:type="dxa" w:w="28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AI / ML Services</w:t>
            </w:r>
          </w:p>
        </w:tc>
        <w:tc>
          <w:tcPr>
            <w:tcW w:type="dxa" w:w="52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Triage, summarisation, drafting assist, translation, predictive insights.</w:t>
            </w:r>
          </w:p>
        </w:tc>
      </w:tr>
      <w:tr>
        <w:tc>
          <w:tcPr>
            <w:tcW w:type="dxa" w:w="12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Governance</w:t>
            </w:r>
          </w:p>
        </w:tc>
        <w:tc>
          <w:tcPr>
            <w:tcW w:type="dxa" w:w="28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Audit, Compliance &amp; Reporting</w:t>
            </w:r>
          </w:p>
        </w:tc>
        <w:tc>
          <w:tcPr>
            <w:tcW w:type="dxa" w:w="52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Immutable audit, regulatory reports, dashboards, analytics.</w:t>
            </w:r>
          </w:p>
        </w:tc>
      </w:tr>
      <w:tr>
        <w:tc>
          <w:tcPr>
            <w:tcW w:type="dxa" w:w="12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Platform</w:t>
            </w:r>
          </w:p>
        </w:tc>
        <w:tc>
          <w:tcPr>
            <w:tcW w:type="dxa" w:w="28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Admin &amp; Configuration</w:t>
            </w:r>
          </w:p>
        </w:tc>
        <w:tc>
          <w:tcPr>
            <w:tcW w:type="dxa" w:w="52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Rulesets, templates, fee schedules, panels, tenant management.</w:t>
            </w:r>
          </w:p>
        </w:tc>
      </w:tr>
    </w:tbl>
    <w:p>
      <w:pPr>
        <w:spacing w:after="80"/>
      </w:pPr>
      <w:r>
        <w:t xml:space="preserve"/>
      </w:r>
    </w:p>
    <w:p>
      <w:pPr>
        <w:pStyle w:val="Heading2"/>
      </w:pPr>
      <w:r>
        <w:t xml:space="preserve">6.2 Microservices decomposition</w:t>
      </w:r>
    </w:p>
    <w:p>
      <w:pPr>
        <w:spacing w:after="140" w:line="276"/>
      </w:pPr>
      <w:r>
        <w:t xml:space="preserve">Each service owns its data, exposes a versioned API, and communicates synchronously (REST / gRPC) for queries and asynchronously (events on a message bus) for state propagation. Services are grouped below with their core entities and key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60"/>
        <w:gridCol w:w="3900"/>
      </w:tblGrid>
      <w:tr>
        <w:trPr>
          <w:tblHeader/>
        </w:trPr>
        <w:tc>
          <w:tcPr>
            <w:tcW w:type="dxa" w:w="17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6"/>
                <w:szCs w:val="16"/>
              </w:rPr>
              <w:t xml:space="preserve">Service</w:t>
            </w:r>
          </w:p>
        </w:tc>
        <w:tc>
          <w:tcPr>
            <w:tcW w:type="dxa" w:w="376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6"/>
                <w:szCs w:val="16"/>
              </w:rPr>
              <w:t xml:space="preserve">Owns (core entities)</w:t>
            </w:r>
          </w:p>
        </w:tc>
        <w:tc>
          <w:tcPr>
            <w:tcW w:type="dxa" w:w="39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6"/>
                <w:szCs w:val="16"/>
              </w:rPr>
              <w:t xml:space="preserve">Emits / consumes (key events)</w:t>
            </w:r>
          </w:p>
        </w:tc>
      </w:tr>
      <w:tr>
        <w:tc>
          <w:tcPr>
            <w:tcW w:type="dxa" w:w="1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identity-svc</w:t>
            </w:r>
          </w:p>
        </w:tc>
        <w:tc>
          <w:tcPr>
            <w:tcW w:type="dxa" w:w="37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User, Role, Session, TenantMembership</w:t>
            </w:r>
          </w:p>
        </w:tc>
        <w:tc>
          <w:tcPr>
            <w:tcW w:type="dxa" w:w="39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UserRegistered, MFAEnrolled, RoleAssigned</w:t>
            </w:r>
          </w:p>
        </w:tc>
      </w:tr>
      <w:tr>
        <w:tc>
          <w:tcPr>
            <w:tcW w:type="dxa" w:w="1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onboarding-svc</w:t>
            </w:r>
          </w:p>
        </w:tc>
        <w:tc>
          <w:tcPr>
            <w:tcW w:type="dxa" w:w="37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OnboardingApplication, KYCRecord, EmpanelmentProfile</w:t>
            </w:r>
          </w:p>
        </w:tc>
        <w:tc>
          <w:tcPr>
            <w:tcW w:type="dxa" w:w="39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KYCVerified, NeutralEmpanelled, EnterpriseOnboarded</w:t>
            </w:r>
          </w:p>
        </w:tc>
      </w:tr>
      <w:tr>
        <w:tc>
          <w:tcPr>
            <w:tcW w:type="dxa" w:w="1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intake-svc</w:t>
            </w:r>
          </w:p>
        </w:tc>
        <w:tc>
          <w:tcPr>
            <w:tcW w:type="dxa" w:w="37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CaseApplication, Clause, BulkBatch, FeeQuote</w:t>
            </w:r>
          </w:p>
        </w:tc>
        <w:tc>
          <w:tcPr>
            <w:tcW w:type="dxa" w:w="39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CaseFiled, BulkBatchIngested, ArbitrabilityFlagged</w:t>
            </w:r>
          </w:p>
        </w:tc>
      </w:tr>
      <w:tr>
        <w:tc>
          <w:tcPr>
            <w:tcW w:type="dxa" w:w="1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case-svc</w:t>
            </w:r>
          </w:p>
        </w:tc>
        <w:tc>
          <w:tcPr>
            <w:tcW w:type="dxa" w:w="37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Case, Party, CaseState, Order, TimelineEvent</w:t>
            </w:r>
          </w:p>
        </w:tc>
        <w:tc>
          <w:tcPr>
            <w:tcW w:type="dxa" w:w="39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CaseOpened, StateChanged, OrderIssued, SLABreached</w:t>
            </w:r>
          </w:p>
        </w:tc>
      </w:tr>
      <w:tr>
        <w:tc>
          <w:tcPr>
            <w:tcW w:type="dxa" w:w="1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allocation-svc</w:t>
            </w:r>
          </w:p>
        </w:tc>
        <w:tc>
          <w:tcPr>
            <w:tcW w:type="dxa" w:w="37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Panel, NeutralPool, ConflictCheck, Assignment</w:t>
            </w:r>
          </w:p>
        </w:tc>
        <w:tc>
          <w:tcPr>
            <w:tcW w:type="dxa" w:w="39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NeutralProposed, NeutralAppointed, ConflictRaised</w:t>
            </w:r>
          </w:p>
        </w:tc>
      </w:tr>
      <w:tr>
        <w:tc>
          <w:tcPr>
            <w:tcW w:type="dxa" w:w="1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hearing-svc</w:t>
            </w:r>
          </w:p>
        </w:tc>
        <w:tc>
          <w:tcPr>
            <w:tcW w:type="dxa" w:w="37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Hearing, CalendarSlot, Attendance, Recording</w:t>
            </w:r>
          </w:p>
        </w:tc>
        <w:tc>
          <w:tcPr>
            <w:tcW w:type="dxa" w:w="39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HearingScheduled, HearingHeld, NoticeServed</w:t>
            </w:r>
          </w:p>
        </w:tc>
      </w:tr>
      <w:tr>
        <w:tc>
          <w:tcPr>
            <w:tcW w:type="dxa" w:w="1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document-svc</w:t>
            </w:r>
          </w:p>
        </w:tc>
        <w:tc>
          <w:tcPr>
            <w:tcW w:type="dxa" w:w="37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Document, Version, Bundle, Redaction, Retention</w:t>
            </w:r>
          </w:p>
        </w:tc>
        <w:tc>
          <w:tcPr>
            <w:tcW w:type="dxa" w:w="39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DocumentUploaded, BundleCompiled, DocumentRedacted</w:t>
            </w:r>
          </w:p>
        </w:tc>
      </w:tr>
      <w:tr>
        <w:tc>
          <w:tcPr>
            <w:tcW w:type="dxa" w:w="1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esign-svc</w:t>
            </w:r>
          </w:p>
        </w:tc>
        <w:tc>
          <w:tcPr>
            <w:tcW w:type="dxa" w:w="37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SignatureRequest, Signature, StampRecord, Cert</w:t>
            </w:r>
          </w:p>
        </w:tc>
        <w:tc>
          <w:tcPr>
            <w:tcW w:type="dxa" w:w="39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AwardSigned, MSASigned, StampApplied</w:t>
            </w:r>
          </w:p>
        </w:tc>
      </w:tr>
      <w:tr>
        <w:tc>
          <w:tcPr>
            <w:tcW w:type="dxa" w:w="1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mediation-svc</w:t>
            </w:r>
          </w:p>
        </w:tc>
        <w:tc>
          <w:tcPr>
            <w:tcW w:type="dxa" w:w="37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MediationRoom, Caucus, SettlementDraft, MSA</w:t>
            </w:r>
          </w:p>
        </w:tc>
        <w:tc>
          <w:tcPr>
            <w:tcW w:type="dxa" w:w="39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SettlementReached, MSAGenerated</w:t>
            </w:r>
          </w:p>
        </w:tc>
      </w:tr>
      <w:tr>
        <w:tc>
          <w:tcPr>
            <w:tcW w:type="dxa" w:w="1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arbitration-svc</w:t>
            </w:r>
          </w:p>
        </w:tc>
        <w:tc>
          <w:tcPr>
            <w:tcW w:type="dxa" w:w="37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Pleading, TribunalOrder, Award, Section29AClock</w:t>
            </w:r>
          </w:p>
        </w:tc>
        <w:tc>
          <w:tcPr>
            <w:tcW w:type="dxa" w:w="39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AwardDrafted, AwardPublished</w:t>
            </w:r>
          </w:p>
        </w:tc>
      </w:tr>
      <w:tr>
        <w:tc>
          <w:tcPr>
            <w:tcW w:type="dxa" w:w="1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grievance-svc</w:t>
            </w:r>
          </w:p>
        </w:tc>
        <w:tc>
          <w:tcPr>
            <w:tcW w:type="dxa" w:w="37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Grievance, ICCase, InquiryStep, EscalationRef</w:t>
            </w:r>
          </w:p>
        </w:tc>
        <w:tc>
          <w:tcPr>
            <w:tcW w:type="dxa" w:w="39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GrievanceFiled, InquiryCompleted, EscalatedToEDRS</w:t>
            </w:r>
          </w:p>
        </w:tc>
      </w:tr>
      <w:tr>
        <w:tc>
          <w:tcPr>
            <w:tcW w:type="dxa" w:w="1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academy-svc</w:t>
            </w:r>
          </w:p>
        </w:tc>
        <w:tc>
          <w:tcPr>
            <w:tcW w:type="dxa" w:w="37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Course, Enrolment, Assessment, Certificate</w:t>
            </w:r>
          </w:p>
        </w:tc>
        <w:tc>
          <w:tcPr>
            <w:tcW w:type="dxa" w:w="39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CourseCompleted, CertificateIssued</w:t>
            </w:r>
          </w:p>
        </w:tc>
      </w:tr>
      <w:tr>
        <w:tc>
          <w:tcPr>
            <w:tcW w:type="dxa" w:w="1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billing-svc</w:t>
            </w:r>
          </w:p>
        </w:tc>
        <w:tc>
          <w:tcPr>
            <w:tcW w:type="dxa" w:w="37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Invoice, Payment, Escrow, Payout, Ledger</w:t>
            </w:r>
          </w:p>
        </w:tc>
        <w:tc>
          <w:tcPr>
            <w:tcW w:type="dxa" w:w="39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InvoiceRaised, PaymentCaptured, PayoutSettled</w:t>
            </w:r>
          </w:p>
        </w:tc>
      </w:tr>
      <w:tr>
        <w:tc>
          <w:tcPr>
            <w:tcW w:type="dxa" w:w="1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notify-svc</w:t>
            </w:r>
          </w:p>
        </w:tc>
        <w:tc>
          <w:tcPr>
            <w:tcW w:type="dxa" w:w="37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Notification, Template, Channel, DeliveryLog</w:t>
            </w:r>
          </w:p>
        </w:tc>
        <w:tc>
          <w:tcPr>
            <w:tcW w:type="dxa" w:w="39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NotificationSent, DeliveryFailed</w:t>
            </w:r>
          </w:p>
        </w:tc>
      </w:tr>
      <w:tr>
        <w:tc>
          <w:tcPr>
            <w:tcW w:type="dxa" w:w="1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ai-svc</w:t>
            </w:r>
          </w:p>
        </w:tc>
        <w:tc>
          <w:tcPr>
            <w:tcW w:type="dxa" w:w="37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Job, Summary, DraftSuggestion, Translation</w:t>
            </w:r>
          </w:p>
        </w:tc>
        <w:tc>
          <w:tcPr>
            <w:tcW w:type="dxa" w:w="39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SummaryReady, DraftSuggested (advisory only)</w:t>
            </w:r>
          </w:p>
        </w:tc>
      </w:tr>
      <w:tr>
        <w:tc>
          <w:tcPr>
            <w:tcW w:type="dxa" w:w="1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audit-svc</w:t>
            </w:r>
          </w:p>
        </w:tc>
        <w:tc>
          <w:tcPr>
            <w:tcW w:type="dxa" w:w="37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AuditEntry (append-only), Hash, Report</w:t>
            </w:r>
          </w:p>
        </w:tc>
        <w:tc>
          <w:tcPr>
            <w:tcW w:type="dxa" w:w="39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(consumes all domain events) ReportGenerated</w:t>
            </w:r>
          </w:p>
        </w:tc>
      </w:tr>
      <w:tr>
        <w:tc>
          <w:tcPr>
            <w:tcW w:type="dxa" w:w="1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config-svc</w:t>
            </w:r>
          </w:p>
        </w:tc>
        <w:tc>
          <w:tcPr>
            <w:tcW w:type="dxa" w:w="37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Ruleset, Template, FeeSchedule, PanelRule, Tenant</w:t>
            </w:r>
          </w:p>
        </w:tc>
        <w:tc>
          <w:tcPr>
            <w:tcW w:type="dxa" w:w="39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RulesetPublished, TemplateUpdated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8FB" w:sz="1"/>
              <w:left w:val="single" w:color="1F6FB2" w:sz="24"/>
              <w:bottom w:val="single" w:color="F4F8FB" w:sz="1"/>
              <w:right w:val="single" w:color="F4F8FB" w:sz="1"/>
            </w:tcBorders>
            <w:shd w:fill="F4F8FB" w:val="clear"/>
            <w:tcMar>
              <w:top w:type="dxa" w:w="120"/>
              <w:left w:type="dxa" w:w="160"/>
              <w:bottom w:type="dxa" w:w="120"/>
              <w:right w:type="dxa" w:w="160"/>
            </w:tcMar>
          </w:tcPr>
          <w:p>
            <w:pPr>
              <w:spacing w:after="60"/>
            </w:pPr>
            <w:r>
              <w:rPr>
                <w:b/>
                <w:bCs/>
                <w:color w:val="0B2A4A"/>
                <w:sz w:val="20"/>
                <w:szCs w:val="20"/>
              </w:rPr>
              <w:t xml:space="preserve">Why services own their data</w:t>
            </w:r>
          </w:p>
          <w:p>
            <w:pPr>
              <w:spacing w:after="0"/>
            </w:pPr>
            <w:r>
              <w:rPr>
                <w:color w:val="1F2937"/>
                <w:sz w:val="19"/>
                <w:szCs w:val="19"/>
              </w:rPr>
              <w:t xml:space="preserve">Tenant isolation, confidentiality tiers and regulatory reporting are far easier when each service is the single source of truth for its entities and exposes them through contracts. The audit-svc is a pure consumer — it never originates state, only records it.</w:t>
            </w:r>
          </w:p>
        </w:tc>
      </w:tr>
    </w:tbl>
    <w:p>
      <w:r>
        <w:br w:type="page"/>
      </w:r>
    </w:p>
    <w:p>
      <w:pPr>
        <w:pStyle w:val="Heading2"/>
      </w:pPr>
      <w:r>
        <w:t xml:space="preserve">6.3 Channel / presentation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3350"/>
        <w:gridCol w:w="3660"/>
      </w:tblGrid>
      <w:tr>
        <w:trPr>
          <w:tblHeader/>
        </w:trPr>
        <w:tc>
          <w:tcPr>
            <w:tcW w:type="dxa" w:w="235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8"/>
                <w:szCs w:val="18"/>
              </w:rPr>
              <w:t xml:space="preserve">Channel</w:t>
            </w:r>
          </w:p>
        </w:tc>
        <w:tc>
          <w:tcPr>
            <w:tcW w:type="dxa" w:w="335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8"/>
                <w:szCs w:val="18"/>
              </w:rPr>
              <w:t xml:space="preserve">Primary users</w:t>
            </w:r>
          </w:p>
        </w:tc>
        <w:tc>
          <w:tcPr>
            <w:tcW w:type="dxa" w:w="366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8"/>
                <w:szCs w:val="18"/>
              </w:rPr>
              <w:t xml:space="preserve">Notes</w:t>
            </w:r>
          </w:p>
        </w:tc>
      </w:tr>
      <w:tr>
        <w:tc>
          <w:tcPr>
            <w:tcW w:type="dxa" w:w="2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Party Web Portal</w:t>
            </w:r>
          </w:p>
        </w:tc>
        <w:tc>
          <w:tcPr>
            <w:tcW w:type="dxa" w:w="3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Claimants, respondents, counsel</w:t>
            </w:r>
          </w:p>
        </w:tc>
        <w:tc>
          <w:tcPr>
            <w:tcW w:type="dxa" w:w="36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Responsive; guided intake; case room; pay &amp; sign; vernacular.</w:t>
            </w:r>
          </w:p>
        </w:tc>
      </w:tr>
      <w:tr>
        <w:tc>
          <w:tcPr>
            <w:tcW w:type="dxa" w:w="23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Neutral Workspace</w:t>
            </w:r>
          </w:p>
        </w:tc>
        <w:tc>
          <w:tcPr>
            <w:tcW w:type="dxa" w:w="33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Arbitrators, mediators, conciliators</w:t>
            </w:r>
          </w:p>
        </w:tc>
        <w:tc>
          <w:tcPr>
            <w:tcW w:type="dxa" w:w="36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Case board, hearings, drafting, fee notes, Private Court mode.</w:t>
            </w:r>
          </w:p>
        </w:tc>
      </w:tr>
      <w:tr>
        <w:tc>
          <w:tcPr>
            <w:tcW w:type="dxa" w:w="2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Case Manager Console</w:t>
            </w:r>
          </w:p>
        </w:tc>
        <w:tc>
          <w:tcPr>
            <w:tcW w:type="dxa" w:w="3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Case managers, EDRS ops</w:t>
            </w:r>
          </w:p>
        </w:tc>
        <w:tc>
          <w:tcPr>
            <w:tcW w:type="dxa" w:w="36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Queues, scheduling, compliance clocks, bulk actions.</w:t>
            </w:r>
          </w:p>
        </w:tc>
      </w:tr>
      <w:tr>
        <w:tc>
          <w:tcPr>
            <w:tcW w:type="dxa" w:w="23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Enterprise Admin Portal</w:t>
            </w:r>
          </w:p>
        </w:tc>
        <w:tc>
          <w:tcPr>
            <w:tcW w:type="dxa" w:w="33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Company admins, IC, nodal officers</w:t>
            </w:r>
          </w:p>
        </w:tc>
        <w:tc>
          <w:tcPr>
            <w:tcW w:type="dxa" w:w="36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Clause config, bulk-refer, grievance &amp; POSH, dashboards.</w:t>
            </w:r>
          </w:p>
        </w:tc>
      </w:tr>
      <w:tr>
        <w:tc>
          <w:tcPr>
            <w:tcW w:type="dxa" w:w="2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Academy LMS</w:t>
            </w:r>
          </w:p>
        </w:tc>
        <w:tc>
          <w:tcPr>
            <w:tcW w:type="dxa" w:w="3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Learners, trainers</w:t>
            </w:r>
          </w:p>
        </w:tc>
        <w:tc>
          <w:tcPr>
            <w:tcW w:type="dxa" w:w="36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Courses, assessments, certificates.</w:t>
            </w:r>
          </w:p>
        </w:tc>
      </w:tr>
      <w:tr>
        <w:tc>
          <w:tcPr>
            <w:tcW w:type="dxa" w:w="23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Mobile App (phased)</w:t>
            </w:r>
          </w:p>
        </w:tc>
        <w:tc>
          <w:tcPr>
            <w:tcW w:type="dxa" w:w="33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Parties, neutrals</w:t>
            </w:r>
          </w:p>
        </w:tc>
        <w:tc>
          <w:tcPr>
            <w:tcW w:type="dxa" w:w="36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Notifications, hearing join, document view, e-sign.</w:t>
            </w:r>
          </w:p>
        </w:tc>
      </w:tr>
      <w:tr>
        <w:tc>
          <w:tcPr>
            <w:tcW w:type="dxa" w:w="2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Embeds / White-label / API</w:t>
            </w:r>
          </w:p>
        </w:tc>
        <w:tc>
          <w:tcPr>
            <w:tcW w:type="dxa" w:w="3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Fintechs, NBFCs, marketplaces</w:t>
            </w:r>
          </w:p>
        </w:tc>
        <w:tc>
          <w:tcPr>
            <w:tcW w:type="dxa" w:w="36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Iframe widgets &amp; REST APIs for embedded ODR.</w:t>
            </w:r>
          </w:p>
        </w:tc>
      </w:tr>
      <w:tr>
        <w:tc>
          <w:tcPr>
            <w:tcW w:type="dxa" w:w="23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Admin Console</w:t>
            </w:r>
          </w:p>
        </w:tc>
        <w:tc>
          <w:tcPr>
            <w:tcW w:type="dxa" w:w="33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Equator platform admins</w:t>
            </w:r>
          </w:p>
        </w:tc>
        <w:tc>
          <w:tcPr>
            <w:tcW w:type="dxa" w:w="36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Tenants, rulesets, KYC review, audit, support.</w:t>
            </w:r>
          </w:p>
        </w:tc>
      </w:tr>
    </w:tbl>
    <w:p>
      <w:pPr>
        <w:spacing w:after="80"/>
      </w:pPr>
      <w:r>
        <w:t xml:space="preserve"/>
      </w:r>
    </w:p>
    <w:p>
      <w:pPr>
        <w:pStyle w:val="Heading2"/>
      </w:pPr>
      <w:r>
        <w:t xml:space="preserve">6.4 Case lifecycle state machine</w:t>
      </w:r>
    </w:p>
    <w:p>
      <w:pPr>
        <w:spacing w:after="140" w:line="276"/>
      </w:pPr>
      <w:r>
        <w:t xml:space="preserve">The case engine is a configurable finite-state machine. Each pillar's pathway (Section 4) is expressed as a state set, allowed transitions, the actor/role authorised for each transition, the documents and fees gated to it, and the SLA timer it starts or stops. A simplified canonical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650"/>
        <w:gridCol w:w="2700"/>
        <w:gridCol w:w="1960"/>
      </w:tblGrid>
      <w:tr>
        <w:trPr>
          <w:tblHeader/>
        </w:trPr>
        <w:tc>
          <w:tcPr>
            <w:tcW w:type="dxa" w:w="205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7"/>
                <w:szCs w:val="17"/>
              </w:rPr>
              <w:t xml:space="preserve">State</w:t>
            </w:r>
          </w:p>
        </w:tc>
        <w:tc>
          <w:tcPr>
            <w:tcW w:type="dxa" w:w="265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7"/>
                <w:szCs w:val="17"/>
              </w:rPr>
              <w:t xml:space="preserve">Meaning</w:t>
            </w:r>
          </w:p>
        </w:tc>
        <w:tc>
          <w:tcPr>
            <w:tcW w:type="dxa" w:w="27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7"/>
                <w:szCs w:val="17"/>
              </w:rPr>
              <w:t xml:space="preserve">Typical transition trigger</w:t>
            </w:r>
          </w:p>
        </w:tc>
        <w:tc>
          <w:tcPr>
            <w:tcW w:type="dxa" w:w="196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7"/>
                <w:szCs w:val="17"/>
              </w:rPr>
              <w:t xml:space="preserve">Clock / gate</w:t>
            </w:r>
          </w:p>
        </w:tc>
      </w:tr>
      <w:tr>
        <w:tc>
          <w:tcPr>
            <w:tcW w:type="dxa" w:w="20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DRAFT</w:t>
            </w:r>
          </w:p>
        </w:tc>
        <w:tc>
          <w:tcPr>
            <w:tcW w:type="dxa" w:w="26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Application being prepared</w:t>
            </w:r>
          </w:p>
        </w:tc>
        <w:tc>
          <w:tcPr>
            <w:tcW w:type="dxa" w:w="2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Submit</w:t>
            </w:r>
          </w:p>
        </w:tc>
        <w:tc>
          <w:tcPr>
            <w:tcW w:type="dxa" w:w="19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w:t>
            </w:r>
          </w:p>
        </w:tc>
      </w:tr>
      <w:tr>
        <w:tc>
          <w:tcPr>
            <w:tcW w:type="dxa" w:w="20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FILED</w:t>
            </w:r>
          </w:p>
        </w:tc>
        <w:tc>
          <w:tcPr>
            <w:tcW w:type="dxa" w:w="26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Submitted, awaiting checks</w:t>
            </w:r>
          </w:p>
        </w:tc>
        <w:tc>
          <w:tcPr>
            <w:tcW w:type="dxa" w:w="2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Intake validation, fee paid</w:t>
            </w:r>
          </w:p>
        </w:tc>
        <w:tc>
          <w:tcPr>
            <w:tcW w:type="dxa" w:w="19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Filing-fee gate</w:t>
            </w:r>
          </w:p>
        </w:tc>
      </w:tr>
      <w:tr>
        <w:tc>
          <w:tcPr>
            <w:tcW w:type="dxa" w:w="20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REGISTERED</w:t>
            </w:r>
          </w:p>
        </w:tc>
        <w:tc>
          <w:tcPr>
            <w:tcW w:type="dxa" w:w="26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Accepted, case number issued</w:t>
            </w:r>
          </w:p>
        </w:tc>
        <w:tc>
          <w:tcPr>
            <w:tcW w:type="dxa" w:w="2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Auto / case-manager accept</w:t>
            </w:r>
          </w:p>
        </w:tc>
        <w:tc>
          <w:tcPr>
            <w:tcW w:type="dxa" w:w="19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Statutory clock starts</w:t>
            </w:r>
          </w:p>
        </w:tc>
      </w:tr>
      <w:tr>
        <w:tc>
          <w:tcPr>
            <w:tcW w:type="dxa" w:w="20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NOTICE_SERVED</w:t>
            </w:r>
          </w:p>
        </w:tc>
        <w:tc>
          <w:tcPr>
            <w:tcW w:type="dxa" w:w="26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Respondent notified</w:t>
            </w:r>
          </w:p>
        </w:tc>
        <w:tc>
          <w:tcPr>
            <w:tcW w:type="dxa" w:w="2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e-notice dispatched</w:t>
            </w:r>
          </w:p>
        </w:tc>
        <w:tc>
          <w:tcPr>
            <w:tcW w:type="dxa" w:w="19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Response window</w:t>
            </w:r>
          </w:p>
        </w:tc>
      </w:tr>
      <w:tr>
        <w:tc>
          <w:tcPr>
            <w:tcW w:type="dxa" w:w="20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NEUTRAL_APPOINTED</w:t>
            </w:r>
          </w:p>
        </w:tc>
        <w:tc>
          <w:tcPr>
            <w:tcW w:type="dxa" w:w="26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Neutral allocated &amp; accepted</w:t>
            </w:r>
          </w:p>
        </w:tc>
        <w:tc>
          <w:tcPr>
            <w:tcW w:type="dxa" w:w="2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Allocation + conflict clear</w:t>
            </w:r>
          </w:p>
        </w:tc>
        <w:tc>
          <w:tcPr>
            <w:tcW w:type="dxa" w:w="19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Section 29A / 120-day</w:t>
            </w:r>
          </w:p>
        </w:tc>
      </w:tr>
      <w:tr>
        <w:tc>
          <w:tcPr>
            <w:tcW w:type="dxa" w:w="20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IN_RESOLUTION</w:t>
            </w:r>
          </w:p>
        </w:tc>
        <w:tc>
          <w:tcPr>
            <w:tcW w:type="dxa" w:w="26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Mediation / arbitration ongoing</w:t>
            </w:r>
          </w:p>
        </w:tc>
        <w:tc>
          <w:tcPr>
            <w:tcW w:type="dxa" w:w="2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Hearings, pleadings, caucus</w:t>
            </w:r>
          </w:p>
        </w:tc>
        <w:tc>
          <w:tcPr>
            <w:tcW w:type="dxa" w:w="19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Hearing SLAs</w:t>
            </w:r>
          </w:p>
        </w:tc>
      </w:tr>
      <w:tr>
        <w:tc>
          <w:tcPr>
            <w:tcW w:type="dxa" w:w="20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SETTLEMENT_DRAFTED</w:t>
            </w:r>
          </w:p>
        </w:tc>
        <w:tc>
          <w:tcPr>
            <w:tcW w:type="dxa" w:w="26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MSA / terms drafted</w:t>
            </w:r>
          </w:p>
        </w:tc>
        <w:tc>
          <w:tcPr>
            <w:tcW w:type="dxa" w:w="2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Parties agree</w:t>
            </w:r>
          </w:p>
        </w:tc>
        <w:tc>
          <w:tcPr>
            <w:tcW w:type="dxa" w:w="19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Signing window</w:t>
            </w:r>
          </w:p>
        </w:tc>
      </w:tr>
      <w:tr>
        <w:tc>
          <w:tcPr>
            <w:tcW w:type="dxa" w:w="20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AWARD_DRAFTED</w:t>
            </w:r>
          </w:p>
        </w:tc>
        <w:tc>
          <w:tcPr>
            <w:tcW w:type="dxa" w:w="26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Award prepared (arbitration)</w:t>
            </w:r>
          </w:p>
        </w:tc>
        <w:tc>
          <w:tcPr>
            <w:tcW w:type="dxa" w:w="2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Tribunal concludes</w:t>
            </w:r>
          </w:p>
        </w:tc>
        <w:tc>
          <w:tcPr>
            <w:tcW w:type="dxa" w:w="19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Award-publication window</w:t>
            </w:r>
          </w:p>
        </w:tc>
      </w:tr>
      <w:tr>
        <w:tc>
          <w:tcPr>
            <w:tcW w:type="dxa" w:w="20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SIGNED</w:t>
            </w:r>
          </w:p>
        </w:tc>
        <w:tc>
          <w:tcPr>
            <w:tcW w:type="dxa" w:w="26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MSA / award e-signed &amp; stamped</w:t>
            </w:r>
          </w:p>
        </w:tc>
        <w:tc>
          <w:tcPr>
            <w:tcW w:type="dxa" w:w="2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e-sign complete</w:t>
            </w:r>
          </w:p>
        </w:tc>
        <w:tc>
          <w:tcPr>
            <w:tcW w:type="dxa" w:w="19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Stamp gate</w:t>
            </w:r>
          </w:p>
        </w:tc>
      </w:tr>
      <w:tr>
        <w:tc>
          <w:tcPr>
            <w:tcW w:type="dxa" w:w="20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CLOSED_RESOLVED</w:t>
            </w:r>
          </w:p>
        </w:tc>
        <w:tc>
          <w:tcPr>
            <w:tcW w:type="dxa" w:w="26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Resolved</w:t>
            </w:r>
          </w:p>
        </w:tc>
        <w:tc>
          <w:tcPr>
            <w:tcW w:type="dxa" w:w="2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Final outcome recorded</w:t>
            </w:r>
          </w:p>
        </w:tc>
        <w:tc>
          <w:tcPr>
            <w:tcW w:type="dxa" w:w="19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Retention clock</w:t>
            </w:r>
          </w:p>
        </w:tc>
      </w:tr>
      <w:tr>
        <w:tc>
          <w:tcPr>
            <w:tcW w:type="dxa" w:w="20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CLOSED_UNRESOLVED</w:t>
            </w:r>
          </w:p>
        </w:tc>
        <w:tc>
          <w:tcPr>
            <w:tcW w:type="dxa" w:w="26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Failed / withdrawn / escalated</w:t>
            </w:r>
          </w:p>
        </w:tc>
        <w:tc>
          <w:tcPr>
            <w:tcW w:type="dxa" w:w="2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Withdrawal / escalation</w:t>
            </w:r>
          </w:p>
        </w:tc>
        <w:tc>
          <w:tcPr>
            <w:tcW w:type="dxa" w:w="19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Escalation hand-off</w:t>
            </w:r>
          </w:p>
        </w:tc>
      </w:tr>
      <w:tr>
        <w:tc>
          <w:tcPr>
            <w:tcW w:type="dxa" w:w="20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ESCALATED</w:t>
            </w:r>
          </w:p>
        </w:tc>
        <w:tc>
          <w:tcPr>
            <w:tcW w:type="dxa" w:w="26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Moved to next stage / EDRS</w:t>
            </w:r>
          </w:p>
        </w:tc>
        <w:tc>
          <w:tcPr>
            <w:tcW w:type="dxa" w:w="2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Escalation event</w:t>
            </w:r>
          </w:p>
        </w:tc>
        <w:tc>
          <w:tcPr>
            <w:tcW w:type="dxa" w:w="19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New clock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2F8" w:sz="1"/>
              <w:left w:val="single" w:color="0E7C7B" w:sz="24"/>
              <w:bottom w:val="single" w:color="EAF2F8" w:sz="1"/>
              <w:right w:val="single" w:color="EAF2F8" w:sz="1"/>
            </w:tcBorders>
            <w:shd w:fill="EAF2F8" w:val="clear"/>
            <w:tcMar>
              <w:top w:type="dxa" w:w="120"/>
              <w:left w:type="dxa" w:w="160"/>
              <w:bottom w:type="dxa" w:w="120"/>
              <w:right w:type="dxa" w:w="160"/>
            </w:tcMar>
          </w:tcPr>
          <w:p>
            <w:pPr>
              <w:spacing w:after="60"/>
            </w:pPr>
            <w:r>
              <w:rPr>
                <w:b/>
                <w:bCs/>
                <w:color w:val="0B2A4A"/>
                <w:sz w:val="20"/>
                <w:szCs w:val="20"/>
              </w:rPr>
              <w:t xml:space="preserve">Engineering note</w:t>
            </w:r>
          </w:p>
          <w:p>
            <w:pPr>
              <w:spacing w:after="0"/>
            </w:pPr>
            <w:r>
              <w:rPr>
                <w:color w:val="1F2937"/>
                <w:sz w:val="19"/>
                <w:szCs w:val="19"/>
              </w:rPr>
              <w:t xml:space="preserve">Implement the state machine declaratively (a transition table in config-svc), so adding a jurisdiction or a new pillar pathway is a configuration change. Every transition publishes a domain event consumed by audit-svc, notify-svc, billing-svc and analytics.</w:t>
            </w:r>
          </w:p>
        </w:tc>
      </w:tr>
    </w:tbl>
    <w:p>
      <w:r>
        <w:br w:type="page"/>
      </w:r>
    </w:p>
    <w:p>
      <w:pPr>
        <w:pStyle w:val="Heading1"/>
      </w:pPr>
      <w:r>
        <w:t xml:space="preserve">7. Data Architecture</w:t>
      </w:r>
    </w:p>
    <w:p>
      <w:pPr>
        <w:spacing w:after="140" w:line="276"/>
      </w:pPr>
      <w:r>
        <w:t xml:space="preserve">This section gives the conceptual data model and the headline tables. The complete, field-level relational specification — every column, type, constraint, default and relationship, plus all onboarding forms — is delivered in the companion Forms &amp; Database Specification (.xlsx) for the IT team. The two are consistent: this section is the map, the spreadsheet is the territory.</w:t>
      </w:r>
    </w:p>
    <w:p>
      <w:pPr>
        <w:pStyle w:val="Heading2"/>
      </w:pPr>
      <w:r>
        <w:t xml:space="preserve">7.1 Core domains &amp; key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3500"/>
      </w:tblGrid>
      <w:tr>
        <w:trPr>
          <w:tblHeader/>
        </w:trPr>
        <w:tc>
          <w:tcPr>
            <w:tcW w:type="dxa" w:w="15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6"/>
                <w:szCs w:val="16"/>
              </w:rPr>
              <w:t xml:space="preserve">Domain</w:t>
            </w:r>
          </w:p>
        </w:tc>
        <w:tc>
          <w:tcPr>
            <w:tcW w:type="dxa" w:w="436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6"/>
                <w:szCs w:val="16"/>
              </w:rPr>
              <w:t xml:space="preserve">Primary tables (headline)</w:t>
            </w:r>
          </w:p>
        </w:tc>
        <w:tc>
          <w:tcPr>
            <w:tcW w:type="dxa" w:w="35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6"/>
                <w:szCs w:val="16"/>
              </w:rPr>
              <w:t xml:space="preserve">Relationships (summary)</w:t>
            </w:r>
          </w:p>
        </w:tc>
      </w:tr>
      <w:tr>
        <w:tc>
          <w:tcPr>
            <w:tcW w:type="dxa" w:w="1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Identity</w:t>
            </w:r>
          </w:p>
        </w:tc>
        <w:tc>
          <w:tcPr>
            <w:tcW w:type="dxa" w:w="43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users, roles, user_roles, tenants, tenant_memberships, sessions, mfa_methods</w:t>
            </w:r>
          </w:p>
        </w:tc>
        <w:tc>
          <w:tcPr>
            <w:tcW w:type="dxa" w:w="3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user n–n roles; user n–n tenants; tenant 1–n cases</w:t>
            </w:r>
          </w:p>
        </w:tc>
      </w:tr>
      <w:tr>
        <w:tc>
          <w:tcPr>
            <w:tcW w:type="dxa" w:w="1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Onboarding/KYC</w:t>
            </w:r>
          </w:p>
        </w:tc>
        <w:tc>
          <w:tcPr>
            <w:tcW w:type="dxa" w:w="43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onboarding_applications, kyc_records, kyb_records, empanelment_profiles, documents_verification</w:t>
            </w:r>
          </w:p>
        </w:tc>
        <w:tc>
          <w:tcPr>
            <w:tcW w:type="dxa" w:w="3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user 1–1 kyc; neutral 1–1 empanelment_profile</w:t>
            </w:r>
          </w:p>
        </w:tc>
      </w:tr>
      <w:tr>
        <w:tc>
          <w:tcPr>
            <w:tcW w:type="dxa" w:w="1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Neutral</w:t>
            </w:r>
          </w:p>
        </w:tc>
        <w:tc>
          <w:tcPr>
            <w:tcW w:type="dxa" w:w="43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neutrals, neutral_specializations, neutral_languages, panels, panel_memberships, conflict_records, availability</w:t>
            </w:r>
          </w:p>
        </w:tc>
        <w:tc>
          <w:tcPr>
            <w:tcW w:type="dxa" w:w="3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neutral n–n panels; neutral 1–n availability</w:t>
            </w:r>
          </w:p>
        </w:tc>
      </w:tr>
      <w:tr>
        <w:tc>
          <w:tcPr>
            <w:tcW w:type="dxa" w:w="1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Case</w:t>
            </w:r>
          </w:p>
        </w:tc>
        <w:tc>
          <w:tcPr>
            <w:tcW w:type="dxa" w:w="43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cases, parties, party_representatives, case_states, case_events, orders, directions</w:t>
            </w:r>
          </w:p>
        </w:tc>
        <w:tc>
          <w:tcPr>
            <w:tcW w:type="dxa" w:w="3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case 1–n parties; case 1–n case_events</w:t>
            </w:r>
          </w:p>
        </w:tc>
      </w:tr>
      <w:tr>
        <w:tc>
          <w:tcPr>
            <w:tcW w:type="dxa" w:w="1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Allocation</w:t>
            </w:r>
          </w:p>
        </w:tc>
        <w:tc>
          <w:tcPr>
            <w:tcW w:type="dxa" w:w="43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assignments, allocation_rules, round_robin_state, conflict_checks</w:t>
            </w:r>
          </w:p>
        </w:tc>
        <w:tc>
          <w:tcPr>
            <w:tcW w:type="dxa" w:w="3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case 1–n assignments; panel 1–n allocation_rules</w:t>
            </w:r>
          </w:p>
        </w:tc>
      </w:tr>
      <w:tr>
        <w:tc>
          <w:tcPr>
            <w:tcW w:type="dxa" w:w="1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Hearing</w:t>
            </w:r>
          </w:p>
        </w:tc>
        <w:tc>
          <w:tcPr>
            <w:tcW w:type="dxa" w:w="43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hearings, calendar_slots, attendances, recordings, notices</w:t>
            </w:r>
          </w:p>
        </w:tc>
        <w:tc>
          <w:tcPr>
            <w:tcW w:type="dxa" w:w="3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case 1–n hearings; hearing 1–n attendances</w:t>
            </w:r>
          </w:p>
        </w:tc>
      </w:tr>
      <w:tr>
        <w:tc>
          <w:tcPr>
            <w:tcW w:type="dxa" w:w="1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Document</w:t>
            </w:r>
          </w:p>
        </w:tc>
        <w:tc>
          <w:tcPr>
            <w:tcW w:type="dxa" w:w="43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documents, document_versions, bundles, bundle_items, redactions, retention_policies</w:t>
            </w:r>
          </w:p>
        </w:tc>
        <w:tc>
          <w:tcPr>
            <w:tcW w:type="dxa" w:w="3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case 1–n documents; document 1–n versions</w:t>
            </w:r>
          </w:p>
        </w:tc>
      </w:tr>
      <w:tr>
        <w:tc>
          <w:tcPr>
            <w:tcW w:type="dxa" w:w="1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Resolution</w:t>
            </w:r>
          </w:p>
        </w:tc>
        <w:tc>
          <w:tcPr>
            <w:tcW w:type="dxa" w:w="43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mediation_sessions, caucuses, settlements, msa_documents, pleadings, tribunal_orders, awards</w:t>
            </w:r>
          </w:p>
        </w:tc>
        <w:tc>
          <w:tcPr>
            <w:tcW w:type="dxa" w:w="3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case 1–1 settlement / award (per stage)</w:t>
            </w:r>
          </w:p>
        </w:tc>
      </w:tr>
      <w:tr>
        <w:tc>
          <w:tcPr>
            <w:tcW w:type="dxa" w:w="1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Grievance</w:t>
            </w:r>
          </w:p>
        </w:tc>
        <w:tc>
          <w:tcPr>
            <w:tcW w:type="dxa" w:w="43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grievances, ic_committees, ic_members, inquiry_steps, escalations, posh_cases</w:t>
            </w:r>
          </w:p>
        </w:tc>
        <w:tc>
          <w:tcPr>
            <w:tcW w:type="dxa" w:w="3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company 1–n grievances; grievance 1–n inquiry_steps</w:t>
            </w:r>
          </w:p>
        </w:tc>
      </w:tr>
      <w:tr>
        <w:tc>
          <w:tcPr>
            <w:tcW w:type="dxa" w:w="1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Academy</w:t>
            </w:r>
          </w:p>
        </w:tc>
        <w:tc>
          <w:tcPr>
            <w:tcW w:type="dxa" w:w="43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courses, modules, enrolments, assessments, attempts, certificates</w:t>
            </w:r>
          </w:p>
        </w:tc>
        <w:tc>
          <w:tcPr>
            <w:tcW w:type="dxa" w:w="3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learner n–n courses; enrolment 1–n attempts</w:t>
            </w:r>
          </w:p>
        </w:tc>
      </w:tr>
      <w:tr>
        <w:tc>
          <w:tcPr>
            <w:tcW w:type="dxa" w:w="1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Billing</w:t>
            </w:r>
          </w:p>
        </w:tc>
        <w:tc>
          <w:tcPr>
            <w:tcW w:type="dxa" w:w="43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fee_schedules, invoices, invoice_items, payments, escrow_accounts, payouts, ledger_entries</w:t>
            </w:r>
          </w:p>
        </w:tc>
        <w:tc>
          <w:tcPr>
            <w:tcW w:type="dxa" w:w="3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case 1–n invoices; invoice 1–n payments</w:t>
            </w:r>
          </w:p>
        </w:tc>
      </w:tr>
      <w:tr>
        <w:tc>
          <w:tcPr>
            <w:tcW w:type="dxa" w:w="1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Comms</w:t>
            </w:r>
          </w:p>
        </w:tc>
        <w:tc>
          <w:tcPr>
            <w:tcW w:type="dxa" w:w="43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notification_templates, notifications, delivery_logs, consents</w:t>
            </w:r>
          </w:p>
        </w:tc>
        <w:tc>
          <w:tcPr>
            <w:tcW w:type="dxa" w:w="3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case 1–n notifications</w:t>
            </w:r>
          </w:p>
        </w:tc>
      </w:tr>
      <w:tr>
        <w:tc>
          <w:tcPr>
            <w:tcW w:type="dxa" w:w="1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Governance</w:t>
            </w:r>
          </w:p>
        </w:tc>
        <w:tc>
          <w:tcPr>
            <w:tcW w:type="dxa" w:w="43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audit_entries, audit_hashes, reports, regulatory_filings</w:t>
            </w:r>
          </w:p>
        </w:tc>
        <w:tc>
          <w:tcPr>
            <w:tcW w:type="dxa" w:w="3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append-only; references all domains by id</w:t>
            </w:r>
          </w:p>
        </w:tc>
      </w:tr>
      <w:tr>
        <w:tc>
          <w:tcPr>
            <w:tcW w:type="dxa" w:w="1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Config</w:t>
            </w:r>
          </w:p>
        </w:tc>
        <w:tc>
          <w:tcPr>
            <w:tcW w:type="dxa" w:w="43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rulesets, jurisdictions, templates, clause_library, panel_rules, holiday_calendars</w:t>
            </w:r>
          </w:p>
        </w:tc>
        <w:tc>
          <w:tcPr>
            <w:tcW w:type="dxa" w:w="3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ruleset 1–n templates; jurisdiction 1–n rulesets</w:t>
            </w:r>
          </w:p>
        </w:tc>
      </w:tr>
    </w:tbl>
    <w:p>
      <w:pPr>
        <w:spacing w:after="80"/>
      </w:pPr>
      <w:r>
        <w:t xml:space="preserve"/>
      </w:r>
    </w:p>
    <w:p>
      <w:pPr>
        <w:pStyle w:val="Heading2"/>
      </w:pPr>
      <w:r>
        <w:t xml:space="preserve">7.2 Anchor table — cases (illustrative columns)</w:t>
      </w:r>
    </w:p>
    <w:p>
      <w:pPr>
        <w:spacing w:after="140" w:line="276"/>
      </w:pPr>
      <w:r>
        <w:t xml:space="preserve">To make the model concrete, the central case table is shown below. The .xlsx specifies all tables to this level of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2100"/>
        <w:gridCol w:w="4910"/>
      </w:tblGrid>
      <w:tr>
        <w:trPr>
          <w:tblHeader/>
        </w:trPr>
        <w:tc>
          <w:tcPr>
            <w:tcW w:type="dxa" w:w="235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7"/>
                <w:szCs w:val="17"/>
              </w:rPr>
              <w:t xml:space="preserve">Column</w:t>
            </w:r>
          </w:p>
        </w:tc>
        <w:tc>
          <w:tcPr>
            <w:tcW w:type="dxa" w:w="21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7"/>
                <w:szCs w:val="17"/>
              </w:rPr>
              <w:t xml:space="preserve">Type</w:t>
            </w:r>
          </w:p>
        </w:tc>
        <w:tc>
          <w:tcPr>
            <w:tcW w:type="dxa" w:w="491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7"/>
                <w:szCs w:val="17"/>
              </w:rPr>
              <w:t xml:space="preserve">Notes / constraints</w:t>
            </w:r>
          </w:p>
        </w:tc>
      </w:tr>
      <w:tr>
        <w:tc>
          <w:tcPr>
            <w:tcW w:type="dxa" w:w="2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case_id</w:t>
            </w:r>
          </w:p>
        </w:tc>
        <w:tc>
          <w:tcPr>
            <w:tcW w:type="dxa" w:w="21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UUID (PK)</w:t>
            </w:r>
          </w:p>
        </w:tc>
        <w:tc>
          <w:tcPr>
            <w:tcW w:type="dxa" w:w="491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System-generated; never reused.</w:t>
            </w:r>
          </w:p>
        </w:tc>
      </w:tr>
      <w:tr>
        <w:tc>
          <w:tcPr>
            <w:tcW w:type="dxa" w:w="23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case_number</w:t>
            </w:r>
          </w:p>
        </w:tc>
        <w:tc>
          <w:tcPr>
            <w:tcW w:type="dxa" w:w="21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VARCHAR, unique</w:t>
            </w:r>
          </w:p>
        </w:tc>
        <w:tc>
          <w:tcPr>
            <w:tcW w:type="dxa" w:w="491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Human-readable, ruleset-formatted (e.g., EQ/ARB/2026/000123).</w:t>
            </w:r>
          </w:p>
        </w:tc>
      </w:tr>
      <w:tr>
        <w:tc>
          <w:tcPr>
            <w:tcW w:type="dxa" w:w="2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tenant_id</w:t>
            </w:r>
          </w:p>
        </w:tc>
        <w:tc>
          <w:tcPr>
            <w:tcW w:type="dxa" w:w="21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UUID (FK → tenants)</w:t>
            </w:r>
          </w:p>
        </w:tc>
        <w:tc>
          <w:tcPr>
            <w:tcW w:type="dxa" w:w="491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Owning institution (EDRS / Private Court / enterprise).</w:t>
            </w:r>
          </w:p>
        </w:tc>
      </w:tr>
      <w:tr>
        <w:tc>
          <w:tcPr>
            <w:tcW w:type="dxa" w:w="23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pillar</w:t>
            </w:r>
          </w:p>
        </w:tc>
        <w:tc>
          <w:tcPr>
            <w:tcW w:type="dxa" w:w="21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ENUM</w:t>
            </w:r>
          </w:p>
        </w:tc>
        <w:tc>
          <w:tcPr>
            <w:tcW w:type="dxa" w:w="491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FAMILY | NBFC | COMMERCIAL | GRIEVANCE.</w:t>
            </w:r>
          </w:p>
        </w:tc>
      </w:tr>
      <w:tr>
        <w:tc>
          <w:tcPr>
            <w:tcW w:type="dxa" w:w="2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mechanism</w:t>
            </w:r>
          </w:p>
        </w:tc>
        <w:tc>
          <w:tcPr>
            <w:tcW w:type="dxa" w:w="21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ENUM</w:t>
            </w:r>
          </w:p>
        </w:tc>
        <w:tc>
          <w:tcPr>
            <w:tcW w:type="dxa" w:w="491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MEDIATION | ARBITRATION | CONCILIATION | NEGOTIATION.</w:t>
            </w:r>
          </w:p>
        </w:tc>
      </w:tr>
      <w:tr>
        <w:tc>
          <w:tcPr>
            <w:tcW w:type="dxa" w:w="23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ruleset_id</w:t>
            </w:r>
          </w:p>
        </w:tc>
        <w:tc>
          <w:tcPr>
            <w:tcW w:type="dxa" w:w="21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UUID (FK → rulesets)</w:t>
            </w:r>
          </w:p>
        </w:tc>
        <w:tc>
          <w:tcPr>
            <w:tcW w:type="dxa" w:w="491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Governs timelines, fees, templates.</w:t>
            </w:r>
          </w:p>
        </w:tc>
      </w:tr>
      <w:tr>
        <w:tc>
          <w:tcPr>
            <w:tcW w:type="dxa" w:w="2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confidentiality_tier</w:t>
            </w:r>
          </w:p>
        </w:tc>
        <w:tc>
          <w:tcPr>
            <w:tcW w:type="dxa" w:w="21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ENUM</w:t>
            </w:r>
          </w:p>
        </w:tc>
        <w:tc>
          <w:tcPr>
            <w:tcW w:type="dxa" w:w="491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STANDARD | HIGH | POSH (drives access &amp; encryption).</w:t>
            </w:r>
          </w:p>
        </w:tc>
      </w:tr>
      <w:tr>
        <w:tc>
          <w:tcPr>
            <w:tcW w:type="dxa" w:w="23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status</w:t>
            </w:r>
          </w:p>
        </w:tc>
        <w:tc>
          <w:tcPr>
            <w:tcW w:type="dxa" w:w="21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ENUM</w:t>
            </w:r>
          </w:p>
        </w:tc>
        <w:tc>
          <w:tcPr>
            <w:tcW w:type="dxa" w:w="491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State-machine state (Section 6.4).</w:t>
            </w:r>
          </w:p>
        </w:tc>
      </w:tr>
      <w:tr>
        <w:tc>
          <w:tcPr>
            <w:tcW w:type="dxa" w:w="2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claim_value</w:t>
            </w:r>
          </w:p>
        </w:tc>
        <w:tc>
          <w:tcPr>
            <w:tcW w:type="dxa" w:w="21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DECIMAL</w:t>
            </w:r>
          </w:p>
        </w:tc>
        <w:tc>
          <w:tcPr>
            <w:tcW w:type="dxa" w:w="491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Nullable; currency in claim_currency.</w:t>
            </w:r>
          </w:p>
        </w:tc>
      </w:tr>
      <w:tr>
        <w:tc>
          <w:tcPr>
            <w:tcW w:type="dxa" w:w="23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claim_currency</w:t>
            </w:r>
          </w:p>
        </w:tc>
        <w:tc>
          <w:tcPr>
            <w:tcW w:type="dxa" w:w="21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CHAR(3)</w:t>
            </w:r>
          </w:p>
        </w:tc>
        <w:tc>
          <w:tcPr>
            <w:tcW w:type="dxa" w:w="491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ISO 4217; default INR.</w:t>
            </w:r>
          </w:p>
        </w:tc>
      </w:tr>
      <w:tr>
        <w:tc>
          <w:tcPr>
            <w:tcW w:type="dxa" w:w="2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jurisdiction_id</w:t>
            </w:r>
          </w:p>
        </w:tc>
        <w:tc>
          <w:tcPr>
            <w:tcW w:type="dxa" w:w="21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UUID (FK)</w:t>
            </w:r>
          </w:p>
        </w:tc>
        <w:tc>
          <w:tcPr>
            <w:tcW w:type="dxa" w:w="491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Seat / governing jurisdiction.</w:t>
            </w:r>
          </w:p>
        </w:tc>
      </w:tr>
      <w:tr>
        <w:tc>
          <w:tcPr>
            <w:tcW w:type="dxa" w:w="23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filed_at / registered_at</w:t>
            </w:r>
          </w:p>
        </w:tc>
        <w:tc>
          <w:tcPr>
            <w:tcW w:type="dxa" w:w="21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TIMESTAMP</w:t>
            </w:r>
          </w:p>
        </w:tc>
        <w:tc>
          <w:tcPr>
            <w:tcW w:type="dxa" w:w="491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Drives statutory clocks.</w:t>
            </w:r>
          </w:p>
        </w:tc>
      </w:tr>
      <w:tr>
        <w:tc>
          <w:tcPr>
            <w:tcW w:type="dxa" w:w="2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sla_due_at</w:t>
            </w:r>
          </w:p>
        </w:tc>
        <w:tc>
          <w:tcPr>
            <w:tcW w:type="dxa" w:w="21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TIMESTAMP</w:t>
            </w:r>
          </w:p>
        </w:tc>
        <w:tc>
          <w:tcPr>
            <w:tcW w:type="dxa" w:w="491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Computed from ruleset + registered_at.</w:t>
            </w:r>
          </w:p>
        </w:tc>
      </w:tr>
      <w:tr>
        <w:tc>
          <w:tcPr>
            <w:tcW w:type="dxa" w:w="23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source</w:t>
            </w:r>
          </w:p>
        </w:tc>
        <w:tc>
          <w:tcPr>
            <w:tcW w:type="dxa" w:w="21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ENUM</w:t>
            </w:r>
          </w:p>
        </w:tc>
        <w:tc>
          <w:tcPr>
            <w:tcW w:type="dxa" w:w="491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SELF | CLAUSE | BULK | API | ESCALATION.</w:t>
            </w:r>
          </w:p>
        </w:tc>
      </w:tr>
      <w:tr>
        <w:tc>
          <w:tcPr>
            <w:tcW w:type="dxa" w:w="2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external_ref</w:t>
            </w:r>
          </w:p>
        </w:tc>
        <w:tc>
          <w:tcPr>
            <w:tcW w:type="dxa" w:w="21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VARCHAR</w:t>
            </w:r>
          </w:p>
        </w:tc>
        <w:tc>
          <w:tcPr>
            <w:tcW w:type="dxa" w:w="491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Loan ID / contract ID / SHe-Box ref.</w:t>
            </w:r>
          </w:p>
        </w:tc>
      </w:tr>
      <w:tr>
        <w:tc>
          <w:tcPr>
            <w:tcW w:type="dxa" w:w="23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created_by / updated_by</w:t>
            </w:r>
          </w:p>
        </w:tc>
        <w:tc>
          <w:tcPr>
            <w:tcW w:type="dxa" w:w="21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UUID (FK → users)</w:t>
            </w:r>
          </w:p>
        </w:tc>
        <w:tc>
          <w:tcPr>
            <w:tcW w:type="dxa" w:w="491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Audit attribution.</w:t>
            </w:r>
          </w:p>
        </w:tc>
      </w:tr>
      <w:tr>
        <w:tc>
          <w:tcPr>
            <w:tcW w:type="dxa" w:w="2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created_at / updated_at</w:t>
            </w:r>
          </w:p>
        </w:tc>
        <w:tc>
          <w:tcPr>
            <w:tcW w:type="dxa" w:w="21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TIMESTAMP</w:t>
            </w:r>
          </w:p>
        </w:tc>
        <w:tc>
          <w:tcPr>
            <w:tcW w:type="dxa" w:w="491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Standard audit columns.</w:t>
            </w:r>
          </w:p>
        </w:tc>
      </w:tr>
    </w:tbl>
    <w:p>
      <w:pPr>
        <w:spacing w:after="80"/>
      </w:pPr>
      <w:r>
        <w:t xml:space="preserve"/>
      </w:r>
    </w:p>
    <w:p>
      <w:pPr>
        <w:pStyle w:val="Heading2"/>
      </w:pPr>
      <w:r>
        <w:t xml:space="preserve">7.3 Data storage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3360"/>
        <w:gridCol w:w="3650"/>
      </w:tblGrid>
      <w:tr>
        <w:trPr>
          <w:tblHeader/>
        </w:trPr>
        <w:tc>
          <w:tcPr>
            <w:tcW w:type="dxa" w:w="235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8"/>
                <w:szCs w:val="18"/>
              </w:rPr>
              <w:t xml:space="preserve">Data class</w:t>
            </w:r>
          </w:p>
        </w:tc>
        <w:tc>
          <w:tcPr>
            <w:tcW w:type="dxa" w:w="336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8"/>
                <w:szCs w:val="18"/>
              </w:rPr>
              <w:t xml:space="preserve">Store</w:t>
            </w:r>
          </w:p>
        </w:tc>
        <w:tc>
          <w:tcPr>
            <w:tcW w:type="dxa" w:w="365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8"/>
                <w:szCs w:val="18"/>
              </w:rPr>
              <w:t xml:space="preserve">Rationale</w:t>
            </w:r>
          </w:p>
        </w:tc>
      </w:tr>
      <w:tr>
        <w:tc>
          <w:tcPr>
            <w:tcW w:type="dxa" w:w="2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Transactional / relational</w:t>
            </w:r>
          </w:p>
        </w:tc>
        <w:tc>
          <w:tcPr>
            <w:tcW w:type="dxa" w:w="33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Managed PostgreSQL (per-service schemas)</w:t>
            </w:r>
          </w:p>
        </w:tc>
        <w:tc>
          <w:tcPr>
            <w:tcW w:type="dxa" w:w="36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ACID, relationships, reporting; logical isolation per service.</w:t>
            </w:r>
          </w:p>
        </w:tc>
      </w:tr>
      <w:tr>
        <w:tc>
          <w:tcPr>
            <w:tcW w:type="dxa" w:w="23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Documents &amp; evidence (blobs)</w:t>
            </w:r>
          </w:p>
        </w:tc>
        <w:tc>
          <w:tcPr>
            <w:tcW w:type="dxa" w:w="33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Object storage (S3-compatible) + CDN</w:t>
            </w:r>
          </w:p>
        </w:tc>
        <w:tc>
          <w:tcPr>
            <w:tcW w:type="dxa" w:w="36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Large files, versioning, lifecycle / retention; signed URLs.</w:t>
            </w:r>
          </w:p>
        </w:tc>
      </w:tr>
      <w:tr>
        <w:tc>
          <w:tcPr>
            <w:tcW w:type="dxa" w:w="2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Search</w:t>
            </w:r>
          </w:p>
        </w:tc>
        <w:tc>
          <w:tcPr>
            <w:tcW w:type="dxa" w:w="33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OpenSearch / Elasticsearch</w:t>
            </w:r>
          </w:p>
        </w:tc>
        <w:tc>
          <w:tcPr>
            <w:tcW w:type="dxa" w:w="36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Full-text over filings, orders, awards (tier-aware).</w:t>
            </w:r>
          </w:p>
        </w:tc>
      </w:tr>
      <w:tr>
        <w:tc>
          <w:tcPr>
            <w:tcW w:type="dxa" w:w="23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Cache / sessions</w:t>
            </w:r>
          </w:p>
        </w:tc>
        <w:tc>
          <w:tcPr>
            <w:tcW w:type="dxa" w:w="33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Redis</w:t>
            </w:r>
          </w:p>
        </w:tc>
        <w:tc>
          <w:tcPr>
            <w:tcW w:type="dxa" w:w="36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Sessions, rate limits, hot lookups, locks.</w:t>
            </w:r>
          </w:p>
        </w:tc>
      </w:tr>
      <w:tr>
        <w:tc>
          <w:tcPr>
            <w:tcW w:type="dxa" w:w="2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Events / streaming</w:t>
            </w:r>
          </w:p>
        </w:tc>
        <w:tc>
          <w:tcPr>
            <w:tcW w:type="dxa" w:w="33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Kafka / managed event bus</w:t>
            </w:r>
          </w:p>
        </w:tc>
        <w:tc>
          <w:tcPr>
            <w:tcW w:type="dxa" w:w="36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Domain events, bulk pipelines, async fan-out.</w:t>
            </w:r>
          </w:p>
        </w:tc>
      </w:tr>
      <w:tr>
        <w:tc>
          <w:tcPr>
            <w:tcW w:type="dxa" w:w="23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Audit (immutable)</w:t>
            </w:r>
          </w:p>
        </w:tc>
        <w:tc>
          <w:tcPr>
            <w:tcW w:type="dxa" w:w="33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WORM store / append-only + hash chain</w:t>
            </w:r>
          </w:p>
        </w:tc>
        <w:tc>
          <w:tcPr>
            <w:tcW w:type="dxa" w:w="36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Tamper-evident; optional anchoring to ledger.</w:t>
            </w:r>
          </w:p>
        </w:tc>
      </w:tr>
      <w:tr>
        <w:tc>
          <w:tcPr>
            <w:tcW w:type="dxa" w:w="2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Analytics / warehouse</w:t>
            </w:r>
          </w:p>
        </w:tc>
        <w:tc>
          <w:tcPr>
            <w:tcW w:type="dxa" w:w="33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Columnar warehouse (e.g., BigQuery / Redshift)</w:t>
            </w:r>
          </w:p>
        </w:tc>
        <w:tc>
          <w:tcPr>
            <w:tcW w:type="dxa" w:w="36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Dashboards, regulator reports, ML features.</w:t>
            </w:r>
          </w:p>
        </w:tc>
      </w:tr>
      <w:tr>
        <w:tc>
          <w:tcPr>
            <w:tcW w:type="dxa" w:w="23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Secrets / keys</w:t>
            </w:r>
          </w:p>
        </w:tc>
        <w:tc>
          <w:tcPr>
            <w:tcW w:type="dxa" w:w="33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KMS + secrets manager / HSM</w:t>
            </w:r>
          </w:p>
        </w:tc>
        <w:tc>
          <w:tcPr>
            <w:tcW w:type="dxa" w:w="36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Key management, e-sign keys, encryption keys.</w:t>
            </w:r>
          </w:p>
        </w:tc>
      </w:tr>
    </w:tbl>
    <w:p>
      <w:pPr>
        <w:spacing w:after="80"/>
      </w:pPr>
      <w:r>
        <w:t xml:space="preserve"/>
      </w:r>
    </w:p>
    <w:p>
      <w:pPr>
        <w:pStyle w:val="Heading2"/>
      </w:pPr>
      <w:r>
        <w:t xml:space="preserve">7.4 Data residency, retention &amp; privacy</w:t>
      </w:r>
    </w:p>
    <w:p>
      <w:pPr>
        <w:pStyle w:val="ListParagraph"/>
        <w:numPr>
          <w:ilvl w:val="0"/>
          <w:numId w:val="2"/>
        </w:numPr>
        <w:spacing w:after="60" w:line="270"/>
      </w:pPr>
      <w:r>
        <w:t xml:space="preserve">Residency: India workloads and data remain in Indian regions; each jurisdiction maps to a residency zone for global expansion (DPDP / local-law compliant).</w:t>
      </w:r>
    </w:p>
    <w:p>
      <w:pPr>
        <w:pStyle w:val="ListParagraph"/>
        <w:numPr>
          <w:ilvl w:val="0"/>
          <w:numId w:val="2"/>
        </w:numPr>
        <w:spacing w:after="60" w:line="270"/>
      </w:pPr>
      <w:r>
        <w:t xml:space="preserve">Retention: per-ruleset retention policies (e.g., awards retained long-term; POSH records per statute; drafts purged on schedule); legal-hold overrides deletion.</w:t>
      </w:r>
    </w:p>
    <w:p>
      <w:pPr>
        <w:pStyle w:val="ListParagraph"/>
        <w:numPr>
          <w:ilvl w:val="0"/>
          <w:numId w:val="2"/>
        </w:numPr>
        <w:spacing w:after="60" w:line="270"/>
      </w:pPr>
      <w:r>
        <w:t xml:space="preserve">Privacy: DPDP-aligned consent capture, purpose limitation, data-principal rights (access / correction / erasure where lawful), and PII minimisation in analytics.</w:t>
      </w:r>
    </w:p>
    <w:p>
      <w:pPr>
        <w:pStyle w:val="ListParagraph"/>
        <w:numPr>
          <w:ilvl w:val="0"/>
          <w:numId w:val="2"/>
        </w:numPr>
        <w:spacing w:after="60" w:line="270"/>
      </w:pPr>
      <w:r>
        <w:t xml:space="preserve">Confidentiality tiers map to encryption keys and access scopes; POSH and marital tiers restrict even internal staff access to need-to-know with break-glass logging.</w:t>
      </w:r>
    </w:p>
    <w:p>
      <w:r>
        <w:br w:type="page"/>
      </w:r>
    </w:p>
    <w:p>
      <w:pPr>
        <w:pStyle w:val="Heading1"/>
      </w:pPr>
      <w:r>
        <w:t xml:space="preserve">8. Integration Architecture</w:t>
      </w:r>
    </w:p>
    <w:p>
      <w:pPr>
        <w:spacing w:after="140" w:line="276"/>
      </w:pPr>
      <w:r>
        <w:t xml:space="preserve">Equator is a hub that orchestrates specialist providers. Integrations are abstracted behind internal interfaces (an “adapter per capability”) so a provider can be swapped per jurisdiction or commercial terms without changing domain logic.</w:t>
      </w:r>
    </w:p>
    <w:p>
      <w:pPr>
        <w:pStyle w:val="Heading2"/>
      </w:pPr>
      <w:r>
        <w:t xml:space="preserve">8.1 Integration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3560"/>
        <w:gridCol w:w="3650"/>
      </w:tblGrid>
      <w:tr>
        <w:trPr>
          <w:tblHeader/>
        </w:trPr>
        <w:tc>
          <w:tcPr>
            <w:tcW w:type="dxa" w:w="215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6"/>
                <w:szCs w:val="16"/>
              </w:rPr>
              <w:t xml:space="preserve">Capability</w:t>
            </w:r>
          </w:p>
        </w:tc>
        <w:tc>
          <w:tcPr>
            <w:tcW w:type="dxa" w:w="356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6"/>
                <w:szCs w:val="16"/>
              </w:rPr>
              <w:t xml:space="preserve">Example providers (India-first)</w:t>
            </w:r>
          </w:p>
        </w:tc>
        <w:tc>
          <w:tcPr>
            <w:tcW w:type="dxa" w:w="365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6"/>
                <w:szCs w:val="16"/>
              </w:rPr>
              <w:t xml:space="preserve">Purpose / notes</w:t>
            </w:r>
          </w:p>
        </w:tc>
      </w:tr>
      <w:tr>
        <w:tc>
          <w:tcPr>
            <w:tcW w:type="dxa" w:w="21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Identity / KYC (individual)</w:t>
            </w:r>
          </w:p>
        </w:tc>
        <w:tc>
          <w:tcPr>
            <w:tcW w:type="dxa" w:w="35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Aadhaar e-KYC, DigiLocker, PAN verification, Video-KYC</w:t>
            </w:r>
          </w:p>
        </w:tc>
        <w:tc>
          <w:tcPr>
            <w:tcW w:type="dxa" w:w="36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Verify parties &amp; neutrals; consent-based.</w:t>
            </w:r>
          </w:p>
        </w:tc>
      </w:tr>
      <w:tr>
        <w:tc>
          <w:tcPr>
            <w:tcW w:type="dxa" w:w="21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KYB (entity)</w:t>
            </w:r>
          </w:p>
        </w:tc>
        <w:tc>
          <w:tcPr>
            <w:tcW w:type="dxa" w:w="35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MCA / GST / CIN lookups, bank-account verification</w:t>
            </w:r>
          </w:p>
        </w:tc>
        <w:tc>
          <w:tcPr>
            <w:tcW w:type="dxa" w:w="36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Verify enterprises &amp; NBFCs.</w:t>
            </w:r>
          </w:p>
        </w:tc>
      </w:tr>
      <w:tr>
        <w:tc>
          <w:tcPr>
            <w:tcW w:type="dxa" w:w="21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e-Signature</w:t>
            </w:r>
          </w:p>
        </w:tc>
        <w:tc>
          <w:tcPr>
            <w:tcW w:type="dxa" w:w="35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Aadhaar eSign (eMudhra/NSDL/Protean), DocuSign (global)</w:t>
            </w:r>
          </w:p>
        </w:tc>
        <w:tc>
          <w:tcPr>
            <w:tcW w:type="dxa" w:w="36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Sign awards, MSAs, consents; electronic signatures recognised under IT Act §3A &amp; §5 read with the Second Schedule.</w:t>
            </w:r>
          </w:p>
        </w:tc>
      </w:tr>
      <w:tr>
        <w:tc>
          <w:tcPr>
            <w:tcW w:type="dxa" w:w="21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e-Stamping</w:t>
            </w:r>
          </w:p>
        </w:tc>
        <w:tc>
          <w:tcPr>
            <w:tcW w:type="dxa" w:w="35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SHCIL / state e-stamping; e-stamp APIs</w:t>
            </w:r>
          </w:p>
        </w:tc>
        <w:tc>
          <w:tcPr>
            <w:tcW w:type="dxa" w:w="36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Stamp awards / agreements where required.</w:t>
            </w:r>
          </w:p>
        </w:tc>
      </w:tr>
      <w:tr>
        <w:tc>
          <w:tcPr>
            <w:tcW w:type="dxa" w:w="21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Payments</w:t>
            </w:r>
          </w:p>
        </w:tc>
        <w:tc>
          <w:tcPr>
            <w:tcW w:type="dxa" w:w="35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UPI, cards, net-banking (Razorpay/PayU); escrow</w:t>
            </w:r>
          </w:p>
        </w:tc>
        <w:tc>
          <w:tcPr>
            <w:tcW w:type="dxa" w:w="36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Filing fees, settlement payments, payouts.</w:t>
            </w:r>
          </w:p>
        </w:tc>
      </w:tr>
      <w:tr>
        <w:tc>
          <w:tcPr>
            <w:tcW w:type="dxa" w:w="21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Video hearings</w:t>
            </w:r>
          </w:p>
        </w:tc>
        <w:tc>
          <w:tcPr>
            <w:tcW w:type="dxa" w:w="35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WebRTC stack / Zoom / Jitsi (self-host option)</w:t>
            </w:r>
          </w:p>
        </w:tc>
        <w:tc>
          <w:tcPr>
            <w:tcW w:type="dxa" w:w="36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Hearings, caucus, recording with consent.</w:t>
            </w:r>
          </w:p>
        </w:tc>
      </w:tr>
      <w:tr>
        <w:tc>
          <w:tcPr>
            <w:tcW w:type="dxa" w:w="21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Notifications</w:t>
            </w:r>
          </w:p>
        </w:tc>
        <w:tc>
          <w:tcPr>
            <w:tcW w:type="dxa" w:w="35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Email (SES), SMS, WhatsApp Business API</w:t>
            </w:r>
          </w:p>
        </w:tc>
        <w:tc>
          <w:tcPr>
            <w:tcW w:type="dxa" w:w="36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Statutory notices, reminders, OTPs.</w:t>
            </w:r>
          </w:p>
        </w:tc>
      </w:tr>
      <w:tr>
        <w:tc>
          <w:tcPr>
            <w:tcW w:type="dxa" w:w="21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Lender / NBFC systems</w:t>
            </w:r>
          </w:p>
        </w:tc>
        <w:tc>
          <w:tcPr>
            <w:tcW w:type="dxa" w:w="35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LMS / LOS via REST + bulk SFTP/CSV</w:t>
            </w:r>
          </w:p>
        </w:tc>
        <w:tc>
          <w:tcPr>
            <w:tcW w:type="dxa" w:w="36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Bulk intake, status callbacks, recovery updates.</w:t>
            </w:r>
          </w:p>
        </w:tc>
      </w:tr>
      <w:tr>
        <w:tc>
          <w:tcPr>
            <w:tcW w:type="dxa" w:w="21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Government / regulator</w:t>
            </w:r>
          </w:p>
        </w:tc>
        <w:tc>
          <w:tcPr>
            <w:tcW w:type="dxa" w:w="35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SEBI SMART ODR, e-Daakhil, RBI CMS, SHe-Box (interop / reference)</w:t>
            </w:r>
          </w:p>
        </w:tc>
        <w:tc>
          <w:tcPr>
            <w:tcW w:type="dxa" w:w="36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Escalation &amp; interoperability where applicable.</w:t>
            </w:r>
          </w:p>
        </w:tc>
      </w:tr>
      <w:tr>
        <w:tc>
          <w:tcPr>
            <w:tcW w:type="dxa" w:w="21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AI / ML</w:t>
            </w:r>
          </w:p>
        </w:tc>
        <w:tc>
          <w:tcPr>
            <w:tcW w:type="dxa" w:w="35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LLM provider(s) + in-house models</w:t>
            </w:r>
          </w:p>
        </w:tc>
        <w:tc>
          <w:tcPr>
            <w:tcW w:type="dxa" w:w="36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Triage, summarisation, drafting, translation.</w:t>
            </w:r>
          </w:p>
        </w:tc>
      </w:tr>
      <w:tr>
        <w:tc>
          <w:tcPr>
            <w:tcW w:type="dxa" w:w="21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Accounting / ERP</w:t>
            </w:r>
          </w:p>
        </w:tc>
        <w:tc>
          <w:tcPr>
            <w:tcW w:type="dxa" w:w="35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Tally / Zoho / SAP (enterprise)</w:t>
            </w:r>
          </w:p>
        </w:tc>
        <w:tc>
          <w:tcPr>
            <w:tcW w:type="dxa" w:w="36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Invoice &amp; payout reconciliation.</w:t>
            </w:r>
          </w:p>
        </w:tc>
      </w:tr>
      <w:tr>
        <w:tc>
          <w:tcPr>
            <w:tcW w:type="dxa" w:w="21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Identity SSO (enterprise)</w:t>
            </w:r>
          </w:p>
        </w:tc>
        <w:tc>
          <w:tcPr>
            <w:tcW w:type="dxa" w:w="35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SAML / OIDC (Okta, Azure AD)</w:t>
            </w:r>
          </w:p>
        </w:tc>
        <w:tc>
          <w:tcPr>
            <w:tcW w:type="dxa" w:w="36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Enterprise admin &amp; IC member login.</w:t>
            </w:r>
          </w:p>
        </w:tc>
      </w:tr>
    </w:tbl>
    <w:p>
      <w:pPr>
        <w:spacing w:after="80"/>
      </w:pPr>
      <w:r>
        <w:t xml:space="preserve"/>
      </w:r>
    </w:p>
    <w:p>
      <w:pPr>
        <w:pStyle w:val="Heading2"/>
      </w:pPr>
      <w:r>
        <w:t xml:space="preserve">8.2 Integration patterns</w:t>
      </w:r>
    </w:p>
    <w:p>
      <w:pPr>
        <w:spacing w:after="140" w:line="276"/>
      </w:pPr>
      <w:r>
        <w:t xml:space="preserve">Integrations fail in production far more often than internal code, so the platform treats every external dependency as unreliable by default and chooses the interaction pattern to match the need. Real-time, user-blocking calls (a KYC check at sign-up, a payment capture, an e-sign initiation) are synchronous but wrapped in circuit breakers, timeouts and bounded retries so a slow provider degrades one request rather than the whole service. High-volume and non-blocking work (NBFC bulk intake, lender status callbacks) is pushed onto durable queues and processed by idempotent workers, so a provider outage causes a backlog that drains later, not lost cases. Outbound events to clients use signed, replay-protected webhooks with retry-with-backoff and a dead-letter path. The full interface contract for each integration — data exchanged, SLA, failure modes and fallback — is specified in the NFR &amp; Operations Pack (DOC-12, §5).</w:t>
      </w:r>
    </w:p>
    <w:p>
      <w:pPr>
        <w:pStyle w:val="ListParagraph"/>
        <w:numPr>
          <w:ilvl w:val="0"/>
          <w:numId w:val="2"/>
        </w:numPr>
        <w:spacing w:after="60" w:line="270"/>
      </w:pPr>
      <w:r>
        <w:t xml:space="preserve">Synchronous adapters for real-time needs (KYC check, payment capture, e-sign initiation), with circuit breakers and retries.</w:t>
      </w:r>
    </w:p>
    <w:p>
      <w:pPr>
        <w:pStyle w:val="ListParagraph"/>
        <w:numPr>
          <w:ilvl w:val="0"/>
          <w:numId w:val="2"/>
        </w:numPr>
        <w:spacing w:after="60" w:line="270"/>
      </w:pPr>
      <w:r>
        <w:t xml:space="preserve">Asynchronous pipelines for bulk NBFC intake and callbacks (queue + workers + idempotency keys).</w:t>
      </w:r>
    </w:p>
    <w:p>
      <w:pPr>
        <w:pStyle w:val="ListParagraph"/>
        <w:numPr>
          <w:ilvl w:val="0"/>
          <w:numId w:val="2"/>
        </w:numPr>
        <w:spacing w:after="60" w:line="270"/>
      </w:pPr>
      <w:r>
        <w:t xml:space="preserve">Webhooks out for enterprise / lender clients (case status, outcome, payout), signed and replay-protected.</w:t>
      </w:r>
    </w:p>
    <w:p>
      <w:pPr>
        <w:pStyle w:val="ListParagraph"/>
        <w:numPr>
          <w:ilvl w:val="0"/>
          <w:numId w:val="2"/>
        </w:numPr>
        <w:spacing w:after="60" w:line="270"/>
      </w:pPr>
      <w:r>
        <w:t xml:space="preserve">Provider-abstraction interfaces so each capability has ≥2 interchangeable providers (resilience + jurisdiction fit).</w:t>
      </w:r>
    </w:p>
    <w:p>
      <w:r>
        <w:br w:type="page"/>
      </w:r>
    </w:p>
    <w:p>
      <w:pPr>
        <w:pStyle w:val="Heading1"/>
      </w:pPr>
      <w:r>
        <w:t xml:space="preserve">9. Security, Identity &amp; Access Architecture</w:t>
      </w:r>
    </w:p>
    <w:p>
      <w:pPr>
        <w:spacing w:after="140" w:line="276"/>
      </w:pPr>
      <w:r>
        <w:t xml:space="preserve">Dispute data is among the most sensitive a platform can hold — financial, marital, and harassment records. Security is therefore foundational, not a layer.</w:t>
      </w:r>
    </w:p>
    <w:p>
      <w:pPr>
        <w:pStyle w:val="Heading2"/>
      </w:pPr>
      <w:r>
        <w:t xml:space="preserve">9.1 Identity &amp; authentication</w:t>
      </w:r>
    </w:p>
    <w:p>
      <w:pPr>
        <w:pStyle w:val="ListParagraph"/>
        <w:numPr>
          <w:ilvl w:val="0"/>
          <w:numId w:val="2"/>
        </w:numPr>
        <w:spacing w:after="60" w:line="270"/>
      </w:pPr>
      <w:r>
        <w:t xml:space="preserve">Authentication: email/phone + password with mandatory MFA for staff, neutrals and enterprise admins; OTP and authenticator support; passkeys on the roadmap.</w:t>
      </w:r>
    </w:p>
    <w:p>
      <w:pPr>
        <w:pStyle w:val="ListParagraph"/>
        <w:numPr>
          <w:ilvl w:val="0"/>
          <w:numId w:val="2"/>
        </w:numPr>
        <w:spacing w:after="60" w:line="270"/>
      </w:pPr>
      <w:r>
        <w:t xml:space="preserve">Enterprise SSO via SAML / OIDC; SCIM provisioning for large clients.</w:t>
      </w:r>
    </w:p>
    <w:p>
      <w:pPr>
        <w:pStyle w:val="ListParagraph"/>
        <w:numPr>
          <w:ilvl w:val="0"/>
          <w:numId w:val="2"/>
        </w:numPr>
        <w:spacing w:after="60" w:line="270"/>
      </w:pPr>
      <w:r>
        <w:t xml:space="preserve">Identity assurance linked to KYC/KYB level; neutrals require verified identity + empanelment before allocation.</w:t>
      </w:r>
    </w:p>
    <w:p>
      <w:pPr>
        <w:pStyle w:val="Heading2"/>
      </w:pPr>
      <w:r>
        <w:t xml:space="preserve">9.2 Authorisation model (RBAC + ABAC)</w:t>
      </w:r>
    </w:p>
    <w:p>
      <w:pPr>
        <w:spacing w:after="140" w:line="276"/>
      </w:pPr>
      <w:r>
        <w:t xml:space="preserve">Access is decided by combining role (what you are), tenant scope (which institution / enterprise), case membership (are you a party / neutral / manager on THIS case), and attributes (confidentiality tier, jurisdiction,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60"/>
        <w:gridCol w:w="3900"/>
      </w:tblGrid>
      <w:tr>
        <w:trPr>
          <w:tblHeader/>
        </w:trPr>
        <w:tc>
          <w:tcPr>
            <w:tcW w:type="dxa" w:w="19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8"/>
                <w:szCs w:val="18"/>
              </w:rPr>
              <w:t xml:space="preserve">Layer</w:t>
            </w:r>
          </w:p>
        </w:tc>
        <w:tc>
          <w:tcPr>
            <w:tcW w:type="dxa" w:w="356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8"/>
                <w:szCs w:val="18"/>
              </w:rPr>
              <w:t xml:space="preserve">Question it answers</w:t>
            </w:r>
          </w:p>
        </w:tc>
        <w:tc>
          <w:tcPr>
            <w:tcW w:type="dxa" w:w="39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8"/>
                <w:szCs w:val="18"/>
              </w:rPr>
              <w:t xml:space="preserve">Example</w:t>
            </w:r>
          </w:p>
        </w:tc>
      </w:tr>
      <w:tr>
        <w:tc>
          <w:tcPr>
            <w:tcW w:type="dxa" w:w="19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Role (RBAC)</w:t>
            </w:r>
          </w:p>
        </w:tc>
        <w:tc>
          <w:tcPr>
            <w:tcW w:type="dxa" w:w="35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What kind of user are you?</w:t>
            </w:r>
          </w:p>
        </w:tc>
        <w:tc>
          <w:tcPr>
            <w:tcW w:type="dxa" w:w="39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Arbitrator vs. Case Manager vs. Party.</w:t>
            </w:r>
          </w:p>
        </w:tc>
      </w:tr>
      <w:tr>
        <w:tc>
          <w:tcPr>
            <w:tcW w:type="dxa" w:w="19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Tenant scope</w:t>
            </w:r>
          </w:p>
        </w:tc>
        <w:tc>
          <w:tcPr>
            <w:tcW w:type="dxa" w:w="35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Which institution do you belong to?</w:t>
            </w:r>
          </w:p>
        </w:tc>
        <w:tc>
          <w:tcPr>
            <w:tcW w:type="dxa" w:w="39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EDRS staff cannot see a Private Court's cases.</w:t>
            </w:r>
          </w:p>
        </w:tc>
      </w:tr>
      <w:tr>
        <w:tc>
          <w:tcPr>
            <w:tcW w:type="dxa" w:w="19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Case membership</w:t>
            </w:r>
          </w:p>
        </w:tc>
        <w:tc>
          <w:tcPr>
            <w:tcW w:type="dxa" w:w="35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Are you on this specific case?</w:t>
            </w:r>
          </w:p>
        </w:tc>
        <w:tc>
          <w:tcPr>
            <w:tcW w:type="dxa" w:w="39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A neutral sees only assigned cases.</w:t>
            </w:r>
          </w:p>
        </w:tc>
      </w:tr>
      <w:tr>
        <w:tc>
          <w:tcPr>
            <w:tcW w:type="dxa" w:w="19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Attribute (ABAC)</w:t>
            </w:r>
          </w:p>
        </w:tc>
        <w:tc>
          <w:tcPr>
            <w:tcW w:type="dxa" w:w="35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Do case attributes permit access?</w:t>
            </w:r>
          </w:p>
        </w:tc>
        <w:tc>
          <w:tcPr>
            <w:tcW w:type="dxa" w:w="39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POSH tier hides identities from non-IC staff.</w:t>
            </w:r>
          </w:p>
        </w:tc>
      </w:tr>
      <w:tr>
        <w:tc>
          <w:tcPr>
            <w:tcW w:type="dxa" w:w="19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Action gate</w:t>
            </w:r>
          </w:p>
        </w:tc>
        <w:tc>
          <w:tcPr>
            <w:tcW w:type="dxa" w:w="35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Is this action allowed in this state?</w:t>
            </w:r>
          </w:p>
        </w:tc>
        <w:tc>
          <w:tcPr>
            <w:tcW w:type="dxa" w:w="39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Only the tribunal can publish an award.</w:t>
            </w:r>
          </w:p>
        </w:tc>
      </w:tr>
    </w:tbl>
    <w:p>
      <w:pPr>
        <w:spacing w:after="80"/>
      </w:pPr>
      <w:r>
        <w:t xml:space="preserve"/>
      </w:r>
    </w:p>
    <w:p>
      <w:pPr>
        <w:pStyle w:val="Heading2"/>
      </w:pPr>
      <w:r>
        <w:t xml:space="preserve">9.3 Data protection</w:t>
      </w:r>
    </w:p>
    <w:p>
      <w:pPr>
        <w:spacing w:after="140" w:line="276"/>
      </w:pPr>
      <w:r>
        <w:t xml:space="preserve">Data is protected in layers that escalate with sensitivity: everything is encrypted in transit and at rest, the most sensitive tiers add separate keys and field-level encryption, and access to confidential bundles is time-limited and watermarked. The principle is that a single compromised credential or stolen disk should never expose a marital or POSH record in readable form.</w:t>
      </w:r>
    </w:p>
    <w:p>
      <w:pPr>
        <w:pStyle w:val="ListParagraph"/>
        <w:numPr>
          <w:ilvl w:val="0"/>
          <w:numId w:val="2"/>
        </w:numPr>
        <w:spacing w:after="60" w:line="270"/>
      </w:pPr>
      <w:r>
        <w:t xml:space="preserve">Encryption in transit (TLS 1.2+) and at rest (AES-256); envelope encryption with KMS; per-tenant / per-tier key separation for the most sensitive data.</w:t>
      </w:r>
    </w:p>
    <w:p>
      <w:pPr>
        <w:pStyle w:val="ListParagraph"/>
        <w:numPr>
          <w:ilvl w:val="0"/>
          <w:numId w:val="2"/>
        </w:numPr>
        <w:spacing w:after="60" w:line="270"/>
      </w:pPr>
      <w:r>
        <w:t xml:space="preserve">Field-level encryption for special-category PII (e.g., POSH complainant identity); tokenisation where feasible.</w:t>
      </w:r>
    </w:p>
    <w:p>
      <w:pPr>
        <w:pStyle w:val="ListParagraph"/>
        <w:numPr>
          <w:ilvl w:val="0"/>
          <w:numId w:val="2"/>
        </w:numPr>
        <w:spacing w:after="60" w:line="270"/>
      </w:pPr>
      <w:r>
        <w:t xml:space="preserve">Document access via short-lived signed URLs; watermarking and download controls on confidential bundles.</w:t>
      </w:r>
    </w:p>
    <w:p>
      <w:pPr>
        <w:pStyle w:val="ListParagraph"/>
        <w:numPr>
          <w:ilvl w:val="0"/>
          <w:numId w:val="2"/>
        </w:numPr>
        <w:spacing w:after="60" w:line="270"/>
      </w:pPr>
      <w:r>
        <w:t xml:space="preserve">Secrets in a managed vault; no secrets in code; automated rotation.</w:t>
      </w:r>
    </w:p>
    <w:p>
      <w:pPr>
        <w:pStyle w:val="Heading2"/>
      </w:pPr>
      <w:r>
        <w:t xml:space="preserve">9.4 Application &amp; operational security</w:t>
      </w:r>
    </w:p>
    <w:p>
      <w:pPr>
        <w:pStyle w:val="ListParagraph"/>
        <w:numPr>
          <w:ilvl w:val="0"/>
          <w:numId w:val="2"/>
        </w:numPr>
        <w:spacing w:after="60" w:line="270"/>
      </w:pPr>
      <w:r>
        <w:t xml:space="preserve">Secure SDLC: code review, SAST/DAST, dependency scanning, IaC scanning, secret scanning in CI/CD.</w:t>
      </w:r>
    </w:p>
    <w:p>
      <w:pPr>
        <w:pStyle w:val="ListParagraph"/>
        <w:numPr>
          <w:ilvl w:val="0"/>
          <w:numId w:val="2"/>
        </w:numPr>
        <w:spacing w:after="60" w:line="270"/>
      </w:pPr>
      <w:r>
        <w:t xml:space="preserve">Network: private subnets, WAF, DDoS protection, API gateway with rate limiting and schema validation.</w:t>
      </w:r>
    </w:p>
    <w:p>
      <w:pPr>
        <w:pStyle w:val="ListParagraph"/>
        <w:numPr>
          <w:ilvl w:val="0"/>
          <w:numId w:val="2"/>
        </w:numPr>
        <w:spacing w:after="60" w:line="270"/>
      </w:pPr>
      <w:r>
        <w:t xml:space="preserve">Tenancy isolation tests; least-privilege IAM for infrastructure; just-in-time admin access with approval.</w:t>
      </w:r>
    </w:p>
    <w:p>
      <w:pPr>
        <w:pStyle w:val="ListParagraph"/>
        <w:numPr>
          <w:ilvl w:val="0"/>
          <w:numId w:val="2"/>
        </w:numPr>
        <w:spacing w:after="60" w:line="270"/>
      </w:pPr>
      <w:r>
        <w:t xml:space="preserve">Logging &amp; monitoring: centralised logs, SIEM, anomaly alerts, break-glass access fully audited.</w:t>
      </w:r>
    </w:p>
    <w:p>
      <w:pPr>
        <w:pStyle w:val="Heading2"/>
      </w:pPr>
      <w:r>
        <w:t xml:space="preserve">9.5 Audit &amp; non-repudiation</w:t>
      </w:r>
    </w:p>
    <w:p>
      <w:pPr>
        <w:spacing w:after="140" w:line="276"/>
      </w:pPr>
      <w:r>
        <w:t xml:space="preserve">In dispute resolution the record is the product: an award or settlement is only as trustworthy as the evidence that it was reached fairly and not altered afterwards. The platform therefore keeps a tamper-evident, append-only trail of everything material and binds outcomes to verifiable signatures, so neither a party nor an insider can later credibly deny what happened. (The full control mapping is in DOC-11; the threat model that motivates it is in DOC-11 §2.)</w:t>
      </w:r>
    </w:p>
    <w:p>
      <w:pPr>
        <w:pStyle w:val="ListParagraph"/>
        <w:numPr>
          <w:ilvl w:val="0"/>
          <w:numId w:val="2"/>
        </w:numPr>
        <w:spacing w:after="60" w:line="270"/>
      </w:pPr>
      <w:r>
        <w:t xml:space="preserve">Append-only audit log of every state transition, document action, access to confidential records, and money movement, with actor, timestamp, IP / device, and a hash chaining each entry to the previous (tamper-evidence).</w:t>
      </w:r>
    </w:p>
    <w:p>
      <w:pPr>
        <w:pStyle w:val="ListParagraph"/>
        <w:numPr>
          <w:ilvl w:val="0"/>
          <w:numId w:val="2"/>
        </w:numPr>
        <w:spacing w:after="60" w:line="270"/>
      </w:pPr>
      <w:r>
        <w:t xml:space="preserve">Optional anchoring of award / MSA hashes to an immutable ledger for independent verifiability.</w:t>
      </w:r>
    </w:p>
    <w:p>
      <w:pPr>
        <w:pStyle w:val="ListParagraph"/>
        <w:numPr>
          <w:ilvl w:val="0"/>
          <w:numId w:val="2"/>
        </w:numPr>
        <w:spacing w:after="60" w:line="270"/>
      </w:pPr>
      <w:r>
        <w:t xml:space="preserve">Certificates of authenticity for signed awards / settlements (who signed, when, with what credential).</w:t>
      </w:r>
    </w:p>
    <w:p>
      <w:r>
        <w:br w:type="page"/>
      </w:r>
    </w:p>
    <w:p>
      <w:pPr>
        <w:pStyle w:val="Heading1"/>
      </w:pPr>
      <w:r>
        <w:t xml:space="preserve">10. AI / ML Architecture</w:t>
      </w:r>
    </w:p>
    <w:p>
      <w:pPr>
        <w:spacing w:after="140" w:line="276"/>
      </w:pPr>
      <w:r>
        <w:t xml:space="preserve">AI is positioned strictly as assistance to humans. It accelerates intake, comprehension and drafting; it never adjudicates. Every AI output is advisory, attributed as AI-generated, reviewable, and logged.</w:t>
      </w:r>
    </w:p>
    <w:p>
      <w:pPr>
        <w:pStyle w:val="Heading2"/>
      </w:pPr>
      <w:r>
        <w:t xml:space="preserve">10.1 AI capabilities by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60"/>
        <w:gridCol w:w="3600"/>
      </w:tblGrid>
      <w:tr>
        <w:trPr>
          <w:tblHeader/>
        </w:trPr>
        <w:tc>
          <w:tcPr>
            <w:tcW w:type="dxa" w:w="17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7"/>
                <w:szCs w:val="17"/>
              </w:rPr>
              <w:t xml:space="preserve">Stage</w:t>
            </w:r>
          </w:p>
        </w:tc>
        <w:tc>
          <w:tcPr>
            <w:tcW w:type="dxa" w:w="406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7"/>
                <w:szCs w:val="17"/>
              </w:rPr>
              <w:t xml:space="preserve">AI capability</w:t>
            </w:r>
          </w:p>
        </w:tc>
        <w:tc>
          <w:tcPr>
            <w:tcW w:type="dxa" w:w="36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7"/>
                <w:szCs w:val="17"/>
              </w:rPr>
              <w:t xml:space="preserve">Human control</w:t>
            </w:r>
          </w:p>
        </w:tc>
      </w:tr>
      <w:tr>
        <w:tc>
          <w:tcPr>
            <w:tcW w:type="dxa" w:w="1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Intake</w:t>
            </w:r>
          </w:p>
        </w:tc>
        <w:tc>
          <w:tcPr>
            <w:tcW w:type="dxa" w:w="40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Guided filing, dispute classification, completeness &amp; arbitrability hints, duplicate detection</w:t>
            </w:r>
          </w:p>
        </w:tc>
        <w:tc>
          <w:tcPr>
            <w:tcW w:type="dxa" w:w="36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Case manager confirms classification.</w:t>
            </w:r>
          </w:p>
        </w:tc>
      </w:tr>
      <w:tr>
        <w:tc>
          <w:tcPr>
            <w:tcW w:type="dxa" w:w="1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Triage / allocation</w:t>
            </w:r>
          </w:p>
        </w:tc>
        <w:tc>
          <w:tcPr>
            <w:tcW w:type="dxa" w:w="40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Suggest pillar, urgency, suitable neutral specialisations</w:t>
            </w:r>
          </w:p>
        </w:tc>
        <w:tc>
          <w:tcPr>
            <w:tcW w:type="dxa" w:w="36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Allocation rules + human override.</w:t>
            </w:r>
          </w:p>
        </w:tc>
      </w:tr>
      <w:tr>
        <w:tc>
          <w:tcPr>
            <w:tcW w:type="dxa" w:w="1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Comprehension</w:t>
            </w:r>
          </w:p>
        </w:tc>
        <w:tc>
          <w:tcPr>
            <w:tcW w:type="dxa" w:w="40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Document summarisation, key-fact &amp; timeline extraction, multilingual translation</w:t>
            </w:r>
          </w:p>
        </w:tc>
        <w:tc>
          <w:tcPr>
            <w:tcW w:type="dxa" w:w="36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Neutral reads source; AI is a reading aid.</w:t>
            </w:r>
          </w:p>
        </w:tc>
      </w:tr>
      <w:tr>
        <w:tc>
          <w:tcPr>
            <w:tcW w:type="dxa" w:w="1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Drafting</w:t>
            </w:r>
          </w:p>
        </w:tc>
        <w:tc>
          <w:tcPr>
            <w:tcW w:type="dxa" w:w="40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Draft notices, procedural orders, settlement / award skeletons from templates</w:t>
            </w:r>
          </w:p>
        </w:tc>
        <w:tc>
          <w:tcPr>
            <w:tcW w:type="dxa" w:w="36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Neutral edits &amp; owns final text.</w:t>
            </w:r>
          </w:p>
        </w:tc>
      </w:tr>
      <w:tr>
        <w:tc>
          <w:tcPr>
            <w:tcW w:type="dxa" w:w="1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Negotiation</w:t>
            </w:r>
          </w:p>
        </w:tc>
        <w:tc>
          <w:tcPr>
            <w:tcW w:type="dxa" w:w="40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Settlement-range suggestions, blind-bidding facilitation for money claims</w:t>
            </w:r>
          </w:p>
        </w:tc>
        <w:tc>
          <w:tcPr>
            <w:tcW w:type="dxa" w:w="36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Parties decide; non-binding.</w:t>
            </w:r>
          </w:p>
        </w:tc>
      </w:tr>
      <w:tr>
        <w:tc>
          <w:tcPr>
            <w:tcW w:type="dxa" w:w="1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Resolution support</w:t>
            </w:r>
          </w:p>
        </w:tc>
        <w:tc>
          <w:tcPr>
            <w:tcW w:type="dxa" w:w="40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Similar-case insights, precedent pointers (where lawful)</w:t>
            </w:r>
          </w:p>
        </w:tc>
        <w:tc>
          <w:tcPr>
            <w:tcW w:type="dxa" w:w="36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Advisory only; sources shown.</w:t>
            </w:r>
          </w:p>
        </w:tc>
      </w:tr>
      <w:tr>
        <w:tc>
          <w:tcPr>
            <w:tcW w:type="dxa" w:w="1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Ops / quality</w:t>
            </w:r>
          </w:p>
        </w:tc>
        <w:tc>
          <w:tcPr>
            <w:tcW w:type="dxa" w:w="40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SLA-risk prediction, anomaly / fraud flags, QA on documents</w:t>
            </w:r>
          </w:p>
        </w:tc>
        <w:tc>
          <w:tcPr>
            <w:tcW w:type="dxa" w:w="36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Ops triages alerts.</w:t>
            </w:r>
          </w:p>
        </w:tc>
      </w:tr>
    </w:tbl>
    <w:p>
      <w:pPr>
        <w:spacing w:after="80"/>
      </w:pPr>
      <w:r>
        <w:t xml:space="preserve"/>
      </w:r>
    </w:p>
    <w:p>
      <w:pPr>
        <w:pStyle w:val="Heading2"/>
      </w:pPr>
      <w:r>
        <w:t xml:space="preserve">10.2 Responsible-AI guardrails</w:t>
      </w:r>
    </w:p>
    <w:p>
      <w:pPr>
        <w:pStyle w:val="ListParagraph"/>
        <w:numPr>
          <w:ilvl w:val="0"/>
          <w:numId w:val="2"/>
        </w:numPr>
        <w:spacing w:after="60" w:line="270"/>
      </w:pPr>
      <w:r>
        <w:t xml:space="preserve">No automated decisions on rights or outcomes; AI cannot change case state or issue awards.</w:t>
      </w:r>
    </w:p>
    <w:p>
      <w:pPr>
        <w:pStyle w:val="ListParagraph"/>
        <w:numPr>
          <w:ilvl w:val="0"/>
          <w:numId w:val="2"/>
        </w:numPr>
        <w:spacing w:after="60" w:line="270"/>
      </w:pPr>
      <w:r>
        <w:t xml:space="preserve">Attribution &amp; traceability: AI suggestions are labelled, versioned, and stored with the prompt context and model used.</w:t>
      </w:r>
    </w:p>
    <w:p>
      <w:pPr>
        <w:pStyle w:val="ListParagraph"/>
        <w:numPr>
          <w:ilvl w:val="0"/>
          <w:numId w:val="2"/>
        </w:numPr>
        <w:spacing w:after="60" w:line="270"/>
      </w:pPr>
      <w:r>
        <w:t xml:space="preserve">Privacy: confidential and POSH data is processed under strict controls; sensitive tiers may be excluded from external model calls or routed to in-house / private models.</w:t>
      </w:r>
    </w:p>
    <w:p>
      <w:pPr>
        <w:pStyle w:val="ListParagraph"/>
        <w:numPr>
          <w:ilvl w:val="0"/>
          <w:numId w:val="2"/>
        </w:numPr>
        <w:spacing w:after="60" w:line="270"/>
      </w:pPr>
      <w:r>
        <w:t xml:space="preserve">Bias &amp; quality: evaluation sets, human review, and feedback loops; the neutral remains fully responsible for any output relied upon.</w:t>
      </w:r>
    </w:p>
    <w:p>
      <w:pPr>
        <w:pStyle w:val="ListParagraph"/>
        <w:numPr>
          <w:ilvl w:val="0"/>
          <w:numId w:val="2"/>
        </w:numPr>
        <w:spacing w:after="60" w:line="270"/>
      </w:pPr>
      <w:r>
        <w:t xml:space="preserve">Explainability: every AI feature has a “why am I seeing this?” and a way to view sources / confidence.</w:t>
      </w:r>
    </w:p>
    <w:p>
      <w:r>
        <w:br w:type="page"/>
      </w:r>
    </w:p>
    <w:p>
      <w:pPr>
        <w:pStyle w:val="Heading1"/>
      </w:pPr>
      <w:r>
        <w:t xml:space="preserve">11. Technology Stack &amp; Deployment Architecture</w:t>
      </w:r>
    </w:p>
    <w:p>
      <w:pPr>
        <w:spacing w:after="140" w:line="276"/>
      </w:pPr>
      <w:r>
        <w:t xml:space="preserve">The stack below is a recommended, opinionated default optimised for an India-first launch with a clear path to multi-region. Specific choices can be substituted; the principles (managed services, containers, IaC, observability) should hold.</w:t>
      </w:r>
    </w:p>
    <w:p>
      <w:pPr>
        <w:pStyle w:val="Heading2"/>
      </w:pPr>
      <w:r>
        <w:t xml:space="preserve">11.1 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760"/>
        <w:gridCol w:w="3500"/>
      </w:tblGrid>
      <w:tr>
        <w:trPr>
          <w:tblHeader/>
        </w:trPr>
        <w:tc>
          <w:tcPr>
            <w:tcW w:type="dxa" w:w="21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6"/>
                <w:szCs w:val="16"/>
              </w:rPr>
              <w:t xml:space="preserve">Layer</w:t>
            </w:r>
          </w:p>
        </w:tc>
        <w:tc>
          <w:tcPr>
            <w:tcW w:type="dxa" w:w="376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6"/>
                <w:szCs w:val="16"/>
              </w:rPr>
              <w:t xml:space="preserve">Recommended</w:t>
            </w:r>
          </w:p>
        </w:tc>
        <w:tc>
          <w:tcPr>
            <w:tcW w:type="dxa" w:w="35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6"/>
                <w:szCs w:val="16"/>
              </w:rPr>
              <w:t xml:space="preserve">Alternatives / notes</w:t>
            </w:r>
          </w:p>
        </w:tc>
      </w:tr>
      <w:tr>
        <w:tc>
          <w:tcPr>
            <w:tcW w:type="dxa" w:w="21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Web frontend</w:t>
            </w:r>
          </w:p>
        </w:tc>
        <w:tc>
          <w:tcPr>
            <w:tcW w:type="dxa" w:w="37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React + TypeScript (Next.js)</w:t>
            </w:r>
          </w:p>
        </w:tc>
        <w:tc>
          <w:tcPr>
            <w:tcW w:type="dxa" w:w="3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Vue/Nuxt; SSR for SEO on public pages.</w:t>
            </w:r>
          </w:p>
        </w:tc>
      </w:tr>
      <w:tr>
        <w:tc>
          <w:tcPr>
            <w:tcW w:type="dxa" w:w="21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Mobile</w:t>
            </w:r>
          </w:p>
        </w:tc>
        <w:tc>
          <w:tcPr>
            <w:tcW w:type="dxa" w:w="37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React Native (phased) / Flutter</w:t>
            </w:r>
          </w:p>
        </w:tc>
        <w:tc>
          <w:tcPr>
            <w:tcW w:type="dxa" w:w="3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Share design system with web.</w:t>
            </w:r>
          </w:p>
        </w:tc>
      </w:tr>
      <w:tr>
        <w:tc>
          <w:tcPr>
            <w:tcW w:type="dxa" w:w="21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API / backend</w:t>
            </w:r>
          </w:p>
        </w:tc>
        <w:tc>
          <w:tcPr>
            <w:tcW w:type="dxa" w:w="37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Node.js (NestJS) and/or Java (Spring Boot)</w:t>
            </w:r>
          </w:p>
        </w:tc>
        <w:tc>
          <w:tcPr>
            <w:tcW w:type="dxa" w:w="3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Go for high-throughput services (allocation, bulk).</w:t>
            </w:r>
          </w:p>
        </w:tc>
      </w:tr>
      <w:tr>
        <w:tc>
          <w:tcPr>
            <w:tcW w:type="dxa" w:w="21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API gateway</w:t>
            </w:r>
          </w:p>
        </w:tc>
        <w:tc>
          <w:tcPr>
            <w:tcW w:type="dxa" w:w="37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Kong / AWS API Gateway</w:t>
            </w:r>
          </w:p>
        </w:tc>
        <w:tc>
          <w:tcPr>
            <w:tcW w:type="dxa" w:w="3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AuthN/Z, rate limiting, schema validation.</w:t>
            </w:r>
          </w:p>
        </w:tc>
      </w:tr>
      <w:tr>
        <w:tc>
          <w:tcPr>
            <w:tcW w:type="dxa" w:w="21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Datastore (OLTP)</w:t>
            </w:r>
          </w:p>
        </w:tc>
        <w:tc>
          <w:tcPr>
            <w:tcW w:type="dxa" w:w="37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PostgreSQL (managed, e.g., RDS/Aurora)</w:t>
            </w:r>
          </w:p>
        </w:tc>
        <w:tc>
          <w:tcPr>
            <w:tcW w:type="dxa" w:w="3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Per-service schemas; read replicas.</w:t>
            </w:r>
          </w:p>
        </w:tc>
      </w:tr>
      <w:tr>
        <w:tc>
          <w:tcPr>
            <w:tcW w:type="dxa" w:w="21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Object storage</w:t>
            </w:r>
          </w:p>
        </w:tc>
        <w:tc>
          <w:tcPr>
            <w:tcW w:type="dxa" w:w="37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S3-compatible + CloudFront CDN</w:t>
            </w:r>
          </w:p>
        </w:tc>
        <w:tc>
          <w:tcPr>
            <w:tcW w:type="dxa" w:w="3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Versioning, lifecycle, signed URLs.</w:t>
            </w:r>
          </w:p>
        </w:tc>
      </w:tr>
      <w:tr>
        <w:tc>
          <w:tcPr>
            <w:tcW w:type="dxa" w:w="21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Search</w:t>
            </w:r>
          </w:p>
        </w:tc>
        <w:tc>
          <w:tcPr>
            <w:tcW w:type="dxa" w:w="37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OpenSearch</w:t>
            </w:r>
          </w:p>
        </w:tc>
        <w:tc>
          <w:tcPr>
            <w:tcW w:type="dxa" w:w="3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Tier-aware indexing.</w:t>
            </w:r>
          </w:p>
        </w:tc>
      </w:tr>
      <w:tr>
        <w:tc>
          <w:tcPr>
            <w:tcW w:type="dxa" w:w="21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Cache</w:t>
            </w:r>
          </w:p>
        </w:tc>
        <w:tc>
          <w:tcPr>
            <w:tcW w:type="dxa" w:w="37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Redis</w:t>
            </w:r>
          </w:p>
        </w:tc>
        <w:tc>
          <w:tcPr>
            <w:tcW w:type="dxa" w:w="3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Sessions, locks, rate limits.</w:t>
            </w:r>
          </w:p>
        </w:tc>
      </w:tr>
      <w:tr>
        <w:tc>
          <w:tcPr>
            <w:tcW w:type="dxa" w:w="21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Eventing</w:t>
            </w:r>
          </w:p>
        </w:tc>
        <w:tc>
          <w:tcPr>
            <w:tcW w:type="dxa" w:w="37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Kafka / managed streaming</w:t>
            </w:r>
          </w:p>
        </w:tc>
        <w:tc>
          <w:tcPr>
            <w:tcW w:type="dxa" w:w="3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Domain events, bulk pipelines.</w:t>
            </w:r>
          </w:p>
        </w:tc>
      </w:tr>
      <w:tr>
        <w:tc>
          <w:tcPr>
            <w:tcW w:type="dxa" w:w="21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Warehouse / BI</w:t>
            </w:r>
          </w:p>
        </w:tc>
        <w:tc>
          <w:tcPr>
            <w:tcW w:type="dxa" w:w="37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BigQuery / Redshift + Metabase/Looker</w:t>
            </w:r>
          </w:p>
        </w:tc>
        <w:tc>
          <w:tcPr>
            <w:tcW w:type="dxa" w:w="3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Dashboards, regulator reports.</w:t>
            </w:r>
          </w:p>
        </w:tc>
      </w:tr>
      <w:tr>
        <w:tc>
          <w:tcPr>
            <w:tcW w:type="dxa" w:w="21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Containers / orchestration</w:t>
            </w:r>
          </w:p>
        </w:tc>
        <w:tc>
          <w:tcPr>
            <w:tcW w:type="dxa" w:w="37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Docker + Kubernetes (EKS/GKE)</w:t>
            </w:r>
          </w:p>
        </w:tc>
        <w:tc>
          <w:tcPr>
            <w:tcW w:type="dxa" w:w="3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HPA autoscaling; service mesh optional.</w:t>
            </w:r>
          </w:p>
        </w:tc>
      </w:tr>
      <w:tr>
        <w:tc>
          <w:tcPr>
            <w:tcW w:type="dxa" w:w="21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IaC / CI-CD</w:t>
            </w:r>
          </w:p>
        </w:tc>
        <w:tc>
          <w:tcPr>
            <w:tcW w:type="dxa" w:w="37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Terraform + GitHub Actions/GitLab CI + ArgoCD</w:t>
            </w:r>
          </w:p>
        </w:tc>
        <w:tc>
          <w:tcPr>
            <w:tcW w:type="dxa" w:w="3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GitOps; environment parity.</w:t>
            </w:r>
          </w:p>
        </w:tc>
      </w:tr>
      <w:tr>
        <w:tc>
          <w:tcPr>
            <w:tcW w:type="dxa" w:w="21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Secrets / keys</w:t>
            </w:r>
          </w:p>
        </w:tc>
        <w:tc>
          <w:tcPr>
            <w:tcW w:type="dxa" w:w="37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KMS + Vault / Secrets Manager (HSM-backed)</w:t>
            </w:r>
          </w:p>
        </w:tc>
        <w:tc>
          <w:tcPr>
            <w:tcW w:type="dxa" w:w="3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e-sign &amp; encryption keys.</w:t>
            </w:r>
          </w:p>
        </w:tc>
      </w:tr>
      <w:tr>
        <w:tc>
          <w:tcPr>
            <w:tcW w:type="dxa" w:w="21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Observability</w:t>
            </w:r>
          </w:p>
        </w:tc>
        <w:tc>
          <w:tcPr>
            <w:tcW w:type="dxa" w:w="37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OpenTelemetry + Prometheus/Grafana + ELK</w:t>
            </w:r>
          </w:p>
        </w:tc>
        <w:tc>
          <w:tcPr>
            <w:tcW w:type="dxa" w:w="3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Tracing, metrics, logs; SIEM feed.</w:t>
            </w:r>
          </w:p>
        </w:tc>
      </w:tr>
      <w:tr>
        <w:tc>
          <w:tcPr>
            <w:tcW w:type="dxa" w:w="21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Video</w:t>
            </w:r>
          </w:p>
        </w:tc>
        <w:tc>
          <w:tcPr>
            <w:tcW w:type="dxa" w:w="37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WebRTC (self-host) or managed (Zoom/Jitsi)</w:t>
            </w:r>
          </w:p>
        </w:tc>
        <w:tc>
          <w:tcPr>
            <w:tcW w:type="dxa" w:w="3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Recording with consent; residency-aware.</w:t>
            </w:r>
          </w:p>
        </w:tc>
      </w:tr>
      <w:tr>
        <w:tc>
          <w:tcPr>
            <w:tcW w:type="dxa" w:w="21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AI/ML</w:t>
            </w:r>
          </w:p>
        </w:tc>
        <w:tc>
          <w:tcPr>
            <w:tcW w:type="dxa" w:w="37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LLM API + private models; vector store</w:t>
            </w:r>
          </w:p>
        </w:tc>
        <w:tc>
          <w:tcPr>
            <w:tcW w:type="dxa" w:w="3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Sensitive tiers on private inference.</w:t>
            </w:r>
          </w:p>
        </w:tc>
      </w:tr>
    </w:tbl>
    <w:p>
      <w:pPr>
        <w:spacing w:after="80"/>
      </w:pPr>
      <w:r>
        <w:t xml:space="preserve"/>
      </w:r>
    </w:p>
    <w:p>
      <w:pPr>
        <w:pStyle w:val="Heading2"/>
      </w:pPr>
      <w:r>
        <w:t xml:space="preserve">11.2 Deployment topology</w:t>
      </w:r>
    </w:p>
    <w:p>
      <w:pPr>
        <w:pStyle w:val="ListParagraph"/>
        <w:numPr>
          <w:ilvl w:val="0"/>
          <w:numId w:val="2"/>
        </w:numPr>
        <w:spacing w:after="60" w:line="270"/>
      </w:pPr>
      <w:r>
        <w:t xml:space="preserve">Cloud-native on a primary Indian region (e.g., ap-south-1) with multi-AZ for high availability; DR in a second Indian region.</w:t>
      </w:r>
    </w:p>
    <w:p>
      <w:pPr>
        <w:pStyle w:val="ListParagraph"/>
        <w:numPr>
          <w:ilvl w:val="0"/>
          <w:numId w:val="2"/>
        </w:numPr>
        <w:spacing w:after="60" w:line="270"/>
      </w:pPr>
      <w:r>
        <w:t xml:space="preserve">Environments: dev → staging → pre-prod → prod, with identical IaC and progressive delivery (canary / blue-green).</w:t>
      </w:r>
    </w:p>
    <w:p>
      <w:pPr>
        <w:pStyle w:val="ListParagraph"/>
        <w:numPr>
          <w:ilvl w:val="0"/>
          <w:numId w:val="2"/>
        </w:numPr>
        <w:spacing w:after="60" w:line="270"/>
      </w:pPr>
      <w:r>
        <w:t xml:space="preserve">Network: VPC with public (gateway/WAF/CDN) and private (services/data) subnets; egress controls to provider APIs.</w:t>
      </w:r>
    </w:p>
    <w:p>
      <w:pPr>
        <w:pStyle w:val="ListParagraph"/>
        <w:numPr>
          <w:ilvl w:val="0"/>
          <w:numId w:val="2"/>
        </w:numPr>
        <w:spacing w:after="60" w:line="270"/>
      </w:pPr>
      <w:r>
        <w:t xml:space="preserve">Global expansion: replicate the stack per residency zone; route tenants to their zone; share only non-personal config / code.</w:t>
      </w:r>
    </w:p>
    <w:p>
      <w:pPr>
        <w:pStyle w:val="ListParagraph"/>
        <w:numPr>
          <w:ilvl w:val="0"/>
          <w:numId w:val="2"/>
        </w:numPr>
        <w:spacing w:after="60" w:line="270"/>
      </w:pPr>
      <w:r>
        <w:t xml:space="preserve">Scalability for NBFC volume: queue-based bulk ingestion, stateless workers with autoscaling, back-pressure and idempotency.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8FB" w:sz="1"/>
              <w:left w:val="single" w:color="1F6FB2" w:sz="24"/>
              <w:bottom w:val="single" w:color="F4F8FB" w:sz="1"/>
              <w:right w:val="single" w:color="F4F8FB" w:sz="1"/>
            </w:tcBorders>
            <w:shd w:fill="F4F8FB" w:val="clear"/>
            <w:tcMar>
              <w:top w:type="dxa" w:w="120"/>
              <w:left w:type="dxa" w:w="160"/>
              <w:bottom w:type="dxa" w:w="120"/>
              <w:right w:type="dxa" w:w="160"/>
            </w:tcMar>
          </w:tcPr>
          <w:p>
            <w:pPr>
              <w:spacing w:after="60"/>
            </w:pPr>
            <w:r>
              <w:rPr>
                <w:b/>
                <w:bCs/>
                <w:color w:val="0B2A4A"/>
                <w:sz w:val="20"/>
                <w:szCs w:val="20"/>
              </w:rPr>
              <w:t xml:space="preserve">Cost &amp; resilience note</w:t>
            </w:r>
          </w:p>
          <w:p>
            <w:pPr>
              <w:spacing w:after="0"/>
            </w:pPr>
            <w:r>
              <w:rPr>
                <w:color w:val="1F2937"/>
                <w:sz w:val="19"/>
                <w:szCs w:val="19"/>
              </w:rPr>
              <w:t xml:space="preserve">Start with a modular monolith-of-services on Kubernetes to control cost and complexity; split the highest-load services (intake, case, document, notify) first. Use managed services aggressively to keep the ops team small until volume justifies more.</w:t>
            </w:r>
          </w:p>
        </w:tc>
      </w:tr>
    </w:tbl>
    <w:p>
      <w:r>
        <w:br w:type="page"/>
      </w:r>
    </w:p>
    <w:p>
      <w:pPr>
        <w:pStyle w:val="Heading1"/>
      </w:pPr>
      <w:r>
        <w:t xml:space="preserve">12. Compliance &amp; Regulatory Control Mapping</w:t>
      </w:r>
    </w:p>
    <w:p>
      <w:pPr>
        <w:spacing w:after="140" w:line="276"/>
      </w:pPr>
      <w:r>
        <w:t xml:space="preserve">This section maps each major obligation to the platform control that satisfies it. It is the bridge between the legal framework (Section 2) and the build, and the basis for audits and regulator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2700"/>
        <w:gridCol w:w="4110"/>
      </w:tblGrid>
      <w:tr>
        <w:trPr>
          <w:tblHeader/>
        </w:trPr>
        <w:tc>
          <w:tcPr>
            <w:tcW w:type="dxa" w:w="255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6"/>
                <w:szCs w:val="16"/>
              </w:rPr>
              <w:t xml:space="preserve">Obligation (source)</w:t>
            </w:r>
          </w:p>
        </w:tc>
        <w:tc>
          <w:tcPr>
            <w:tcW w:type="dxa" w:w="27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6"/>
                <w:szCs w:val="16"/>
              </w:rPr>
              <w:t xml:space="preserve">Requirement</w:t>
            </w:r>
          </w:p>
        </w:tc>
        <w:tc>
          <w:tcPr>
            <w:tcW w:type="dxa" w:w="411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6"/>
                <w:szCs w:val="16"/>
              </w:rPr>
              <w:t xml:space="preserve">Platform control</w:t>
            </w:r>
          </w:p>
        </w:tc>
      </w:tr>
      <w:tr>
        <w:tc>
          <w:tcPr>
            <w:tcW w:type="dxa" w:w="25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Mediation Act 2023, S.30</w:t>
            </w:r>
          </w:p>
        </w:tc>
        <w:tc>
          <w:tcPr>
            <w:tcW w:type="dxa" w:w="2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Online mediation recognised</w:t>
            </w:r>
          </w:p>
        </w:tc>
        <w:tc>
          <w:tcPr>
            <w:tcW w:type="dxa" w:w="411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Native online mediation workspace with audit &amp; consent.</w:t>
            </w:r>
          </w:p>
        </w:tc>
      </w:tr>
      <w:tr>
        <w:tc>
          <w:tcPr>
            <w:tcW w:type="dxa" w:w="25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Mediation Act 2023, timelines</w:t>
            </w:r>
          </w:p>
        </w:tc>
        <w:tc>
          <w:tcPr>
            <w:tcW w:type="dxa" w:w="2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120 days (+60) for mediation</w:t>
            </w:r>
          </w:p>
        </w:tc>
        <w:tc>
          <w:tcPr>
            <w:tcW w:type="dxa" w:w="411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Ruleset-driven SLA clock; alerts; extension workflow.</w:t>
            </w:r>
          </w:p>
        </w:tc>
      </w:tr>
      <w:tr>
        <w:tc>
          <w:tcPr>
            <w:tcW w:type="dxa" w:w="25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Mediation Act 2023, S.22</w:t>
            </w:r>
          </w:p>
        </w:tc>
        <w:tc>
          <w:tcPr>
            <w:tcW w:type="dxa" w:w="2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Confidentiality of proceedings</w:t>
            </w:r>
          </w:p>
        </w:tc>
        <w:tc>
          <w:tcPr>
            <w:tcW w:type="dxa" w:w="411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Confidentiality tier; access scoping; non-disclosure enforcement.</w:t>
            </w:r>
          </w:p>
        </w:tc>
      </w:tr>
      <w:tr>
        <w:tc>
          <w:tcPr>
            <w:tcW w:type="dxa" w:w="25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Mediation Act 2023, S.27</w:t>
            </w:r>
          </w:p>
        </w:tc>
        <w:tc>
          <w:tcPr>
            <w:tcW w:type="dxa" w:w="2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Settlement enforceable as decree</w:t>
            </w:r>
          </w:p>
        </w:tc>
        <w:tc>
          <w:tcPr>
            <w:tcW w:type="dxa" w:w="411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MSA generation, e-sign, e-stamp, certificate of authenticity.</w:t>
            </w:r>
          </w:p>
        </w:tc>
      </w:tr>
      <w:tr>
        <w:tc>
          <w:tcPr>
            <w:tcW w:type="dxa" w:w="25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A&amp;C Act 1996, S.29A</w:t>
            </w:r>
          </w:p>
        </w:tc>
        <w:tc>
          <w:tcPr>
            <w:tcW w:type="dxa" w:w="2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Time-limit for arbitral award</w:t>
            </w:r>
          </w:p>
        </w:tc>
        <w:tc>
          <w:tcPr>
            <w:tcW w:type="dxa" w:w="411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Section 29A clock; tribunal dashboard; extension tracking.</w:t>
            </w:r>
          </w:p>
        </w:tc>
      </w:tr>
      <w:tr>
        <w:tc>
          <w:tcPr>
            <w:tcW w:type="dxa" w:w="25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A&amp;C Act 1996, Part III</w:t>
            </w:r>
          </w:p>
        </w:tc>
        <w:tc>
          <w:tcPr>
            <w:tcW w:type="dxa" w:w="2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Conciliation framework</w:t>
            </w:r>
          </w:p>
        </w:tc>
        <w:tc>
          <w:tcPr>
            <w:tcW w:type="dxa" w:w="411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Conciliation workspace; settlement = settlement agreement.</w:t>
            </w:r>
          </w:p>
        </w:tc>
      </w:tr>
      <w:tr>
        <w:tc>
          <w:tcPr>
            <w:tcW w:type="dxa" w:w="25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RBI Digital Lending 2025</w:t>
            </w:r>
          </w:p>
        </w:tc>
        <w:tc>
          <w:tcPr>
            <w:tcW w:type="dxa" w:w="2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Nodal officer &amp; 30-day grievance</w:t>
            </w:r>
          </w:p>
        </w:tc>
        <w:tc>
          <w:tcPr>
            <w:tcW w:type="dxa" w:w="411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Grievance intake routing; 30-day SLA; escalation to RBI CMS.</w:t>
            </w:r>
          </w:p>
        </w:tc>
      </w:tr>
      <w:tr>
        <w:tc>
          <w:tcPr>
            <w:tcW w:type="dxa" w:w="25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RBI Digital Lending 2025</w:t>
            </w:r>
          </w:p>
        </w:tc>
        <w:tc>
          <w:tcPr>
            <w:tcW w:type="dxa" w:w="2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Data localisation &amp; consent</w:t>
            </w:r>
          </w:p>
        </w:tc>
        <w:tc>
          <w:tcPr>
            <w:tcW w:type="dxa" w:w="411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India residency; borrower-consent artefacts; logging.</w:t>
            </w:r>
          </w:p>
        </w:tc>
      </w:tr>
      <w:tr>
        <w:tc>
          <w:tcPr>
            <w:tcW w:type="dxa" w:w="25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POSH Act 2013</w:t>
            </w:r>
          </w:p>
        </w:tc>
        <w:tc>
          <w:tcPr>
            <w:tcW w:type="dxa" w:w="2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IC constitution &amp; 90-day inquiry</w:t>
            </w:r>
          </w:p>
        </w:tc>
        <w:tc>
          <w:tcPr>
            <w:tcW w:type="dxa" w:w="411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IC setup wizard; 90-day inquiry clock; recommendation tracking.</w:t>
            </w:r>
          </w:p>
        </w:tc>
      </w:tr>
      <w:tr>
        <w:tc>
          <w:tcPr>
            <w:tcW w:type="dxa" w:w="25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POSH Act 2013</w:t>
            </w:r>
          </w:p>
        </w:tc>
        <w:tc>
          <w:tcPr>
            <w:tcW w:type="dxa" w:w="2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Strict confidentiality</w:t>
            </w:r>
          </w:p>
        </w:tc>
        <w:tc>
          <w:tcPr>
            <w:tcW w:type="dxa" w:w="411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POSH tier; identity field-encryption; need-to-know access.</w:t>
            </w:r>
          </w:p>
        </w:tc>
      </w:tr>
      <w:tr>
        <w:tc>
          <w:tcPr>
            <w:tcW w:type="dxa" w:w="25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SHe-Box pattern</w:t>
            </w:r>
          </w:p>
        </w:tc>
        <w:tc>
          <w:tcPr>
            <w:tcW w:type="dxa" w:w="2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Single-window routing &amp; monitoring</w:t>
            </w:r>
          </w:p>
        </w:tc>
        <w:tc>
          <w:tcPr>
            <w:tcW w:type="dxa" w:w="411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Grievance portal auto-routes to IC/LC; monitoring dashboard.</w:t>
            </w:r>
          </w:p>
        </w:tc>
      </w:tr>
      <w:tr>
        <w:tc>
          <w:tcPr>
            <w:tcW w:type="dxa" w:w="25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IT Act 2000 / eSign</w:t>
            </w:r>
          </w:p>
        </w:tc>
        <w:tc>
          <w:tcPr>
            <w:tcW w:type="dxa" w:w="2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Valid electronic signatures</w:t>
            </w:r>
          </w:p>
        </w:tc>
        <w:tc>
          <w:tcPr>
            <w:tcW w:type="dxa" w:w="411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Aadhaar eSign / certified e-sign; tamper-evident records.</w:t>
            </w:r>
          </w:p>
        </w:tc>
      </w:tr>
      <w:tr>
        <w:tc>
          <w:tcPr>
            <w:tcW w:type="dxa" w:w="25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DPDP Act 2023</w:t>
            </w:r>
          </w:p>
        </w:tc>
        <w:tc>
          <w:tcPr>
            <w:tcW w:type="dxa" w:w="2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Consent, rights, breach notice</w:t>
            </w:r>
          </w:p>
        </w:tc>
        <w:tc>
          <w:tcPr>
            <w:tcW w:type="dxa" w:w="411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Consent manager; data-principal request workflow; breach process.</w:t>
            </w:r>
          </w:p>
        </w:tc>
      </w:tr>
      <w:tr>
        <w:tc>
          <w:tcPr>
            <w:tcW w:type="dxa" w:w="25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Consumer Protection (ODR)</w:t>
            </w:r>
          </w:p>
        </w:tc>
        <w:tc>
          <w:tcPr>
            <w:tcW w:type="dxa" w:w="2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Accessible consumer redress</w:t>
            </w:r>
          </w:p>
        </w:tc>
        <w:tc>
          <w:tcPr>
            <w:tcW w:type="dxa" w:w="411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Consumer fast-track intake; e-Daakhil interop; vernacular UI.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2F8" w:sz="1"/>
              <w:left w:val="single" w:color="0E7C7B" w:sz="24"/>
              <w:bottom w:val="single" w:color="EAF2F8" w:sz="1"/>
              <w:right w:val="single" w:color="EAF2F8" w:sz="1"/>
            </w:tcBorders>
            <w:shd w:fill="EAF2F8" w:val="clear"/>
            <w:tcMar>
              <w:top w:type="dxa" w:w="120"/>
              <w:left w:type="dxa" w:w="160"/>
              <w:bottom w:type="dxa" w:w="120"/>
              <w:right w:type="dxa" w:w="160"/>
            </w:tcMar>
          </w:tcPr>
          <w:p>
            <w:pPr>
              <w:spacing w:after="60"/>
            </w:pPr>
            <w:r>
              <w:rPr>
                <w:b/>
                <w:bCs/>
                <w:color w:val="0B2A4A"/>
                <w:sz w:val="20"/>
                <w:szCs w:val="20"/>
              </w:rPr>
              <w:t xml:space="preserve">Certification trajectory</w:t>
            </w:r>
          </w:p>
          <w:p>
            <w:pPr>
              <w:spacing w:after="0"/>
            </w:pPr>
            <w:r>
              <w:rPr>
                <w:color w:val="1F2937"/>
                <w:sz w:val="19"/>
                <w:szCs w:val="19"/>
              </w:rPr>
              <w:t xml:space="preserve">Target ISO 27001 and SOC 2 Type II for the platform, and align the grievance/POSH module with statutory audit needs. Maintain a living controls register mapped to this table so audits are evidence-driven.</w:t>
            </w:r>
          </w:p>
        </w:tc>
      </w:tr>
    </w:tbl>
    <w:p>
      <w:r>
        <w:br w:type="page"/>
      </w:r>
    </w:p>
    <w:p>
      <w:pPr>
        <w:pStyle w:val="Heading1"/>
      </w:pPr>
      <w:r>
        <w:t xml:space="preserve">13. Onboarding Forms &amp; Data-Capture Architecture</w:t>
      </w:r>
    </w:p>
    <w:p>
      <w:pPr>
        <w:spacing w:after="140" w:line="276"/>
      </w:pPr>
      <w:r>
        <w:t xml:space="preserve">This section is the bridge to the companion Forms &amp; Database Specification (.xlsx). It lists every form the ecosystem needs, who fills it, and the key data captured. The spreadsheet expands each form into field-level rows (label, field name, data type, required, validation, options, maps-to table.column) that the IT team can implement directly, plus the full table schema and an entity-relationship summary.</w:t>
      </w:r>
    </w:p>
    <w:p>
      <w:pPr>
        <w:pStyle w:val="Heading2"/>
      </w:pPr>
      <w:r>
        <w:t xml:space="preserve">13.1 Form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50"/>
        <w:gridCol w:w="2350"/>
        <w:gridCol w:w="3460"/>
      </w:tblGrid>
      <w:tr>
        <w:trPr>
          <w:tblHeader/>
        </w:trPr>
        <w:tc>
          <w:tcPr>
            <w:tcW w:type="dxa" w:w="5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5"/>
                <w:szCs w:val="15"/>
              </w:rPr>
              <w:t xml:space="preserve">#</w:t>
            </w:r>
          </w:p>
        </w:tc>
        <w:tc>
          <w:tcPr>
            <w:tcW w:type="dxa" w:w="305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5"/>
                <w:szCs w:val="15"/>
              </w:rPr>
              <w:t xml:space="preserve">Form</w:t>
            </w:r>
          </w:p>
        </w:tc>
        <w:tc>
          <w:tcPr>
            <w:tcW w:type="dxa" w:w="235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5"/>
                <w:szCs w:val="15"/>
              </w:rPr>
              <w:t xml:space="preserve">Filled by</w:t>
            </w:r>
          </w:p>
        </w:tc>
        <w:tc>
          <w:tcPr>
            <w:tcW w:type="dxa" w:w="346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5"/>
                <w:szCs w:val="15"/>
              </w:rPr>
              <w:t xml:space="preserve">Captured (headline)</w:t>
            </w:r>
          </w:p>
        </w:tc>
      </w:tr>
      <w:tr>
        <w:tc>
          <w:tcPr>
            <w:tcW w:type="dxa" w:w="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F1</w:t>
            </w:r>
          </w:p>
        </w:tc>
        <w:tc>
          <w:tcPr>
            <w:tcW w:type="dxa" w:w="30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Party Registration &amp; KYC</w:t>
            </w:r>
          </w:p>
        </w:tc>
        <w:tc>
          <w:tcPr>
            <w:tcW w:type="dxa" w:w="2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Individual party</w:t>
            </w:r>
          </w:p>
        </w:tc>
        <w:tc>
          <w:tcPr>
            <w:tcW w:type="dxa" w:w="34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Identity, contact, KYC, role, consent.</w:t>
            </w:r>
          </w:p>
        </w:tc>
      </w:tr>
      <w:tr>
        <w:tc>
          <w:tcPr>
            <w:tcW w:type="dxa" w:w="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F2</w:t>
            </w:r>
          </w:p>
        </w:tc>
        <w:tc>
          <w:tcPr>
            <w:tcW w:type="dxa" w:w="30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Entity / Business Registration (KYB)</w:t>
            </w:r>
          </w:p>
        </w:tc>
        <w:tc>
          <w:tcPr>
            <w:tcW w:type="dxa" w:w="23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Company / NBFC</w:t>
            </w:r>
          </w:p>
        </w:tc>
        <w:tc>
          <w:tcPr>
            <w:tcW w:type="dxa" w:w="34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CIN/GST/PAN, authorised signatory, bank, KYB docs.</w:t>
            </w:r>
          </w:p>
        </w:tc>
      </w:tr>
      <w:tr>
        <w:tc>
          <w:tcPr>
            <w:tcW w:type="dxa" w:w="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F3</w:t>
            </w:r>
          </w:p>
        </w:tc>
        <w:tc>
          <w:tcPr>
            <w:tcW w:type="dxa" w:w="30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Neutral Registration &amp; Empanelment</w:t>
            </w:r>
          </w:p>
        </w:tc>
        <w:tc>
          <w:tcPr>
            <w:tcW w:type="dxa" w:w="2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Arbitrator / mediator / conciliator</w:t>
            </w:r>
          </w:p>
        </w:tc>
        <w:tc>
          <w:tcPr>
            <w:tcW w:type="dxa" w:w="34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Qualifications, accreditation, specialisations, languages, experience, conflicts, fee preferences, bank/KYC.</w:t>
            </w:r>
          </w:p>
        </w:tc>
      </w:tr>
      <w:tr>
        <w:tc>
          <w:tcPr>
            <w:tcW w:type="dxa" w:w="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F4</w:t>
            </w:r>
          </w:p>
        </w:tc>
        <w:tc>
          <w:tcPr>
            <w:tcW w:type="dxa" w:w="30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Case Manager Registration</w:t>
            </w:r>
          </w:p>
        </w:tc>
        <w:tc>
          <w:tcPr>
            <w:tcW w:type="dxa" w:w="23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Case manager</w:t>
            </w:r>
          </w:p>
        </w:tc>
        <w:tc>
          <w:tcPr>
            <w:tcW w:type="dxa" w:w="34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Profile, certifications, availability, assignment scope.</w:t>
            </w:r>
          </w:p>
        </w:tc>
      </w:tr>
      <w:tr>
        <w:tc>
          <w:tcPr>
            <w:tcW w:type="dxa" w:w="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F5</w:t>
            </w:r>
          </w:p>
        </w:tc>
        <w:tc>
          <w:tcPr>
            <w:tcW w:type="dxa" w:w="30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Complaint / Case Filing (master)</w:t>
            </w:r>
          </w:p>
        </w:tc>
        <w:tc>
          <w:tcPr>
            <w:tcW w:type="dxa" w:w="2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Party / counsel / system</w:t>
            </w:r>
          </w:p>
        </w:tc>
        <w:tc>
          <w:tcPr>
            <w:tcW w:type="dxa" w:w="34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Parties, pillar, mechanism, claim, facts, reliefs, documents, clause ref.</w:t>
            </w:r>
          </w:p>
        </w:tc>
      </w:tr>
      <w:tr>
        <w:tc>
          <w:tcPr>
            <w:tcW w:type="dxa" w:w="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F6</w:t>
            </w:r>
          </w:p>
        </w:tc>
        <w:tc>
          <w:tcPr>
            <w:tcW w:type="dxa" w:w="30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NBFC Bulk Case Intake</w:t>
            </w:r>
          </w:p>
        </w:tc>
        <w:tc>
          <w:tcPr>
            <w:tcW w:type="dxa" w:w="23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NBFC ops / API</w:t>
            </w:r>
          </w:p>
        </w:tc>
        <w:tc>
          <w:tcPr>
            <w:tcW w:type="dxa" w:w="34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Loan ID, borrower, amount, default details, clause, contact.</w:t>
            </w:r>
          </w:p>
        </w:tc>
      </w:tr>
      <w:tr>
        <w:tc>
          <w:tcPr>
            <w:tcW w:type="dxa" w:w="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F7</w:t>
            </w:r>
          </w:p>
        </w:tc>
        <w:tc>
          <w:tcPr>
            <w:tcW w:type="dxa" w:w="30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Marital / Family Intake</w:t>
            </w:r>
          </w:p>
        </w:tc>
        <w:tc>
          <w:tcPr>
            <w:tcW w:type="dxa" w:w="2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Party / counsel</w:t>
            </w:r>
          </w:p>
        </w:tc>
        <w:tc>
          <w:tcPr>
            <w:tcW w:type="dxa" w:w="34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Marriage details, issues (custody/maintenance/assets), children, sensitive flags.</w:t>
            </w:r>
          </w:p>
        </w:tc>
      </w:tr>
      <w:tr>
        <w:tc>
          <w:tcPr>
            <w:tcW w:type="dxa" w:w="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F8</w:t>
            </w:r>
          </w:p>
        </w:tc>
        <w:tc>
          <w:tcPr>
            <w:tcW w:type="dxa" w:w="30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Commercial Dispute Intake</w:t>
            </w:r>
          </w:p>
        </w:tc>
        <w:tc>
          <w:tcPr>
            <w:tcW w:type="dxa" w:w="23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Company / counsel</w:t>
            </w:r>
          </w:p>
        </w:tc>
        <w:tc>
          <w:tcPr>
            <w:tcW w:type="dxa" w:w="34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Contract, value, clause, counter-party, transaction facts.</w:t>
            </w:r>
          </w:p>
        </w:tc>
      </w:tr>
      <w:tr>
        <w:tc>
          <w:tcPr>
            <w:tcW w:type="dxa" w:w="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F9</w:t>
            </w:r>
          </w:p>
        </w:tc>
        <w:tc>
          <w:tcPr>
            <w:tcW w:type="dxa" w:w="30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Response / Defence Filing</w:t>
            </w:r>
          </w:p>
        </w:tc>
        <w:tc>
          <w:tcPr>
            <w:tcW w:type="dxa" w:w="2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Respondent</w:t>
            </w:r>
          </w:p>
        </w:tc>
        <w:tc>
          <w:tcPr>
            <w:tcW w:type="dxa" w:w="34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Reply, admissions/denials, counter-claims, documents.</w:t>
            </w:r>
          </w:p>
        </w:tc>
      </w:tr>
      <w:tr>
        <w:tc>
          <w:tcPr>
            <w:tcW w:type="dxa" w:w="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F10</w:t>
            </w:r>
          </w:p>
        </w:tc>
        <w:tc>
          <w:tcPr>
            <w:tcW w:type="dxa" w:w="30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Enterprise Grievance Complaint</w:t>
            </w:r>
          </w:p>
        </w:tc>
        <w:tc>
          <w:tcPr>
            <w:tcW w:type="dxa" w:w="23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Employee</w:t>
            </w:r>
          </w:p>
        </w:tc>
        <w:tc>
          <w:tcPr>
            <w:tcW w:type="dxa" w:w="34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Category, respondent, narrative, evidence, anonymity option.</w:t>
            </w:r>
          </w:p>
        </w:tc>
      </w:tr>
      <w:tr>
        <w:tc>
          <w:tcPr>
            <w:tcW w:type="dxa" w:w="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F11</w:t>
            </w:r>
          </w:p>
        </w:tc>
        <w:tc>
          <w:tcPr>
            <w:tcW w:type="dxa" w:w="30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POSH Complaint</w:t>
            </w:r>
          </w:p>
        </w:tc>
        <w:tc>
          <w:tcPr>
            <w:tcW w:type="dxa" w:w="2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Aggrieved employee</w:t>
            </w:r>
          </w:p>
        </w:tc>
        <w:tc>
          <w:tcPr>
            <w:tcW w:type="dxa" w:w="34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Incident details, respondent, witnesses, relief, strict-confidential.</w:t>
            </w:r>
          </w:p>
        </w:tc>
      </w:tr>
      <w:tr>
        <w:tc>
          <w:tcPr>
            <w:tcW w:type="dxa" w:w="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F12</w:t>
            </w:r>
          </w:p>
        </w:tc>
        <w:tc>
          <w:tcPr>
            <w:tcW w:type="dxa" w:w="30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IC Constitution &amp; Member Onboarding</w:t>
            </w:r>
          </w:p>
        </w:tc>
        <w:tc>
          <w:tcPr>
            <w:tcW w:type="dxa" w:w="23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Enterprise admin</w:t>
            </w:r>
          </w:p>
        </w:tc>
        <w:tc>
          <w:tcPr>
            <w:tcW w:type="dxa" w:w="34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Committee setup, members (≥50% women, external), tenure.</w:t>
            </w:r>
          </w:p>
        </w:tc>
      </w:tr>
      <w:tr>
        <w:tc>
          <w:tcPr>
            <w:tcW w:type="dxa" w:w="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F13</w:t>
            </w:r>
          </w:p>
        </w:tc>
        <w:tc>
          <w:tcPr>
            <w:tcW w:type="dxa" w:w="30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Neutral Allocation / Acceptance</w:t>
            </w:r>
          </w:p>
        </w:tc>
        <w:tc>
          <w:tcPr>
            <w:tcW w:type="dxa" w:w="2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System / neutral</w:t>
            </w:r>
          </w:p>
        </w:tc>
        <w:tc>
          <w:tcPr>
            <w:tcW w:type="dxa" w:w="34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Proposed neutral, conflict declaration, accept/decline.</w:t>
            </w:r>
          </w:p>
        </w:tc>
      </w:tr>
      <w:tr>
        <w:tc>
          <w:tcPr>
            <w:tcW w:type="dxa" w:w="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F14</w:t>
            </w:r>
          </w:p>
        </w:tc>
        <w:tc>
          <w:tcPr>
            <w:tcW w:type="dxa" w:w="30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Hearing Scheduling &amp; Notice</w:t>
            </w:r>
          </w:p>
        </w:tc>
        <w:tc>
          <w:tcPr>
            <w:tcW w:type="dxa" w:w="23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Case manager / neutral</w:t>
            </w:r>
          </w:p>
        </w:tc>
        <w:tc>
          <w:tcPr>
            <w:tcW w:type="dxa" w:w="34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Date, mode, attendees, notice content, ack.</w:t>
            </w:r>
          </w:p>
        </w:tc>
      </w:tr>
      <w:tr>
        <w:tc>
          <w:tcPr>
            <w:tcW w:type="dxa" w:w="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F15</w:t>
            </w:r>
          </w:p>
        </w:tc>
        <w:tc>
          <w:tcPr>
            <w:tcW w:type="dxa" w:w="30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Settlement / MSA Capture</w:t>
            </w:r>
          </w:p>
        </w:tc>
        <w:tc>
          <w:tcPr>
            <w:tcW w:type="dxa" w:w="2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Mediator / parties</w:t>
            </w:r>
          </w:p>
        </w:tc>
        <w:tc>
          <w:tcPr>
            <w:tcW w:type="dxa" w:w="34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Terms, parties, signatures, stamping.</w:t>
            </w:r>
          </w:p>
        </w:tc>
      </w:tr>
      <w:tr>
        <w:tc>
          <w:tcPr>
            <w:tcW w:type="dxa" w:w="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F16</w:t>
            </w:r>
          </w:p>
        </w:tc>
        <w:tc>
          <w:tcPr>
            <w:tcW w:type="dxa" w:w="30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Award Drafting &amp; Publication</w:t>
            </w:r>
          </w:p>
        </w:tc>
        <w:tc>
          <w:tcPr>
            <w:tcW w:type="dxa" w:w="23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Arbitrator / tribunal</w:t>
            </w:r>
          </w:p>
        </w:tc>
        <w:tc>
          <w:tcPr>
            <w:tcW w:type="dxa" w:w="34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Findings, reasoning, relief, signatures, stamp.</w:t>
            </w:r>
          </w:p>
        </w:tc>
      </w:tr>
      <w:tr>
        <w:tc>
          <w:tcPr>
            <w:tcW w:type="dxa" w:w="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F17</w:t>
            </w:r>
          </w:p>
        </w:tc>
        <w:tc>
          <w:tcPr>
            <w:tcW w:type="dxa" w:w="30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Fee / Payment &amp; Payout</w:t>
            </w:r>
          </w:p>
        </w:tc>
        <w:tc>
          <w:tcPr>
            <w:tcW w:type="dxa" w:w="2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Party / finance</w:t>
            </w:r>
          </w:p>
        </w:tc>
        <w:tc>
          <w:tcPr>
            <w:tcW w:type="dxa" w:w="34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Fee schedule, invoice, payment, neutral payout.</w:t>
            </w:r>
          </w:p>
        </w:tc>
      </w:tr>
      <w:tr>
        <w:tc>
          <w:tcPr>
            <w:tcW w:type="dxa" w:w="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F18</w:t>
            </w:r>
          </w:p>
        </w:tc>
        <w:tc>
          <w:tcPr>
            <w:tcW w:type="dxa" w:w="30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Academy Enrolment &amp; Certification</w:t>
            </w:r>
          </w:p>
        </w:tc>
        <w:tc>
          <w:tcPr>
            <w:tcW w:type="dxa" w:w="23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Learner / corporate</w:t>
            </w:r>
          </w:p>
        </w:tc>
        <w:tc>
          <w:tcPr>
            <w:tcW w:type="dxa" w:w="34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Course, learner, assessment, certificate.</w:t>
            </w:r>
          </w:p>
        </w:tc>
      </w:tr>
      <w:tr>
        <w:tc>
          <w:tcPr>
            <w:tcW w:type="dxa" w:w="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F19</w:t>
            </w:r>
          </w:p>
        </w:tc>
        <w:tc>
          <w:tcPr>
            <w:tcW w:type="dxa" w:w="30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Private Court Setup</w:t>
            </w:r>
          </w:p>
        </w:tc>
        <w:tc>
          <w:tcPr>
            <w:tcW w:type="dxa" w:w="23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Independent neutral / institution</w:t>
            </w:r>
          </w:p>
        </w:tc>
        <w:tc>
          <w:tcPr>
            <w:tcW w:type="dxa" w:w="34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Branding, panels, fee schedule, allocation rules, templates.</w:t>
            </w:r>
          </w:p>
        </w:tc>
      </w:tr>
      <w:tr>
        <w:tc>
          <w:tcPr>
            <w:tcW w:type="dxa" w:w="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F20</w:t>
            </w:r>
          </w:p>
        </w:tc>
        <w:tc>
          <w:tcPr>
            <w:tcW w:type="dxa" w:w="30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Enterprise Clause Configuration</w:t>
            </w:r>
          </w:p>
        </w:tc>
        <w:tc>
          <w:tcPr>
            <w:tcW w:type="dxa" w:w="23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Company admin</w:t>
            </w:r>
          </w:p>
        </w:tc>
        <w:tc>
          <w:tcPr>
            <w:tcW w:type="dxa" w:w="34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Clause selection, scope, escalation, default ruleset.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8FB" w:sz="1"/>
              <w:left w:val="single" w:color="1F6FB2" w:sz="24"/>
              <w:bottom w:val="single" w:color="F4F8FB" w:sz="1"/>
              <w:right w:val="single" w:color="F4F8FB" w:sz="1"/>
            </w:tcBorders>
            <w:shd w:fill="F4F8FB" w:val="clear"/>
            <w:tcMar>
              <w:top w:type="dxa" w:w="120"/>
              <w:left w:type="dxa" w:w="160"/>
              <w:bottom w:type="dxa" w:w="120"/>
              <w:right w:type="dxa" w:w="160"/>
            </w:tcMar>
          </w:tcPr>
          <w:p>
            <w:pPr>
              <w:spacing w:after="60"/>
            </w:pPr>
            <w:r>
              <w:rPr>
                <w:b/>
                <w:bCs/>
                <w:color w:val="0B2A4A"/>
                <w:sz w:val="20"/>
                <w:szCs w:val="20"/>
              </w:rPr>
              <w:t xml:space="preserve">For the IT team</w:t>
            </w:r>
          </w:p>
          <w:p>
            <w:pPr>
              <w:spacing w:after="0"/>
            </w:pPr>
            <w:r>
              <w:rPr>
                <w:color w:val="1F2937"/>
                <w:sz w:val="19"/>
                <w:szCs w:val="19"/>
              </w:rPr>
              <w:t xml:space="preserve">The .xlsx contains one tab per form (field-level) plus a Data Dictionary tab (all tables/columns), a Relationships tab (FK map), and Enumerations/Picklists. Build the schema from the Data Dictionary; build the UI from the form tabs; both reference the same field names so front-end and back-end stay aligned.</w:t>
            </w:r>
          </w:p>
        </w:tc>
      </w:tr>
    </w:tbl>
    <w:p>
      <w:r>
        <w:br w:type="page"/>
      </w:r>
    </w:p>
    <w:p>
      <w:pPr>
        <w:pStyle w:val="Heading1"/>
      </w:pPr>
      <w:r>
        <w:t xml:space="preserve">14. Signature Capability Deep-Dives</w:t>
      </w:r>
    </w:p>
    <w:p>
      <w:pPr>
        <w:spacing w:after="140" w:line="276"/>
      </w:pPr>
      <w:r>
        <w:t xml:space="preserve">Three capabilities differentiate Equator from a generic case-management tool. They are specified here at product level; their data lives in the schema (Section 7) and forms (Section 13).</w:t>
      </w:r>
    </w:p>
    <w:p>
      <w:pPr>
        <w:pStyle w:val="Heading2"/>
      </w:pPr>
      <w:r>
        <w:t xml:space="preserve">14.1 Private Court (self-managed neutrals &amp; institutions)</w:t>
      </w:r>
    </w:p>
    <w:p>
      <w:pPr>
        <w:spacing w:after="140" w:line="276"/>
      </w:pPr>
      <w:r>
        <w:t xml:space="preserve">Private Court turns the platform into infrastructure for any neutral or institution to run their own caseload under their own brand, while Equator retains the rails (compliance, audit, payments, video, e-sign).</w:t>
      </w:r>
    </w:p>
    <w:p>
      <w:pPr>
        <w:pStyle w:val="ListParagraph"/>
        <w:numPr>
          <w:ilvl w:val="0"/>
          <w:numId w:val="2"/>
        </w:numPr>
        <w:spacing w:after="60" w:line="270"/>
      </w:pPr>
      <w:r>
        <w:t xml:space="preserve">Self-service setup: branding, panels, fee schedules, allocation rules, document templates, and notice content.</w:t>
      </w:r>
    </w:p>
    <w:p>
      <w:pPr>
        <w:pStyle w:val="ListParagraph"/>
        <w:numPr>
          <w:ilvl w:val="0"/>
          <w:numId w:val="2"/>
        </w:numPr>
        <w:spacing w:after="60" w:line="270"/>
      </w:pPr>
      <w:r>
        <w:t xml:space="preserve">Independent case management: file, allocate, schedule, hear, draft, sign — fully isolated from EDRS and other tenants.</w:t>
      </w:r>
    </w:p>
    <w:p>
      <w:pPr>
        <w:pStyle w:val="ListParagraph"/>
        <w:numPr>
          <w:ilvl w:val="0"/>
          <w:numId w:val="2"/>
        </w:numPr>
        <w:spacing w:after="60" w:line="270"/>
      </w:pPr>
      <w:r>
        <w:t xml:space="preserve">Optional referral marketplace: Private Courts can opt to receive overflow / referred matters from Equator.</w:t>
      </w:r>
    </w:p>
    <w:p>
      <w:pPr>
        <w:pStyle w:val="ListParagraph"/>
        <w:numPr>
          <w:ilvl w:val="0"/>
          <w:numId w:val="2"/>
        </w:numPr>
        <w:spacing w:after="60" w:line="270"/>
      </w:pPr>
      <w:r>
        <w:t xml:space="preserve">Commercials: subscription + per-case fee + add-ons (e-stamp, video minutes, premium AI).</w:t>
      </w:r>
    </w:p>
    <w:p>
      <w:pPr>
        <w:spacing w:after="80"/>
      </w:pPr>
      <w:r>
        <w:t xml:space="preserve"/>
      </w:r>
    </w:p>
    <w:p>
      <w:pPr>
        <w:pStyle w:val="Heading2"/>
      </w:pPr>
      <w:r>
        <w:t xml:space="preserve">14.2 Enterprise Grievance &amp; POSH</w:t>
      </w:r>
    </w:p>
    <w:p>
      <w:pPr>
        <w:spacing w:after="140" w:line="276"/>
      </w:pPr>
      <w:r>
        <w:t xml:space="preserve">A first-class internal-redressal product for business clients, modelled on SHe-Box's single-window routing and monitoring, with EDRS as the neutral escalation tier.</w:t>
      </w:r>
    </w:p>
    <w:p>
      <w:pPr>
        <w:pStyle w:val="ListParagraph"/>
        <w:numPr>
          <w:ilvl w:val="0"/>
          <w:numId w:val="2"/>
        </w:numPr>
        <w:spacing w:after="60" w:line="270"/>
      </w:pPr>
      <w:r>
        <w:t xml:space="preserve">Single-window complaint intake with category routing (general grievance vs. POSH) and anonymity / whistle-blower options.</w:t>
      </w:r>
    </w:p>
    <w:p>
      <w:pPr>
        <w:pStyle w:val="ListParagraph"/>
        <w:numPr>
          <w:ilvl w:val="0"/>
          <w:numId w:val="2"/>
        </w:numPr>
        <w:spacing w:after="60" w:line="270"/>
      </w:pPr>
      <w:r>
        <w:t xml:space="preserve">IC workspace: constitution wizard, confidential inquiry workflow, 90-day clock, evidence handling, recommendation &amp; action tracking, annual-report support.</w:t>
      </w:r>
    </w:p>
    <w:p>
      <w:pPr>
        <w:pStyle w:val="ListParagraph"/>
        <w:numPr>
          <w:ilvl w:val="0"/>
          <w:numId w:val="2"/>
        </w:numPr>
        <w:spacing w:after="60" w:line="270"/>
      </w:pPr>
      <w:r>
        <w:t xml:space="preserve">Escalation contract: when a matter is escalated, a clean, consented hand-off creates an EDRS case (mediation / arbitration) with controlled data transfer and preserved confidentiality.</w:t>
      </w:r>
    </w:p>
    <w:p>
      <w:pPr>
        <w:pStyle w:val="ListParagraph"/>
        <w:numPr>
          <w:ilvl w:val="0"/>
          <w:numId w:val="2"/>
        </w:numPr>
        <w:spacing w:after="60" w:line="270"/>
      </w:pPr>
      <w:r>
        <w:t xml:space="preserve">Heightened controls: POSH tier, identity field-encryption, strict need-to-know access, break-glass logging.</w:t>
      </w:r>
    </w:p>
    <w:p>
      <w:pPr>
        <w:spacing w:after="80"/>
      </w:pPr>
      <w:r>
        <w:t xml:space="preserve"/>
      </w:r>
    </w:p>
    <w:p>
      <w:pPr>
        <w:pStyle w:val="Heading2"/>
      </w:pPr>
      <w:r>
        <w:t xml:space="preserve">14.3 Equator Academy (training &amp; certification)</w:t>
      </w:r>
    </w:p>
    <w:p>
      <w:pPr>
        <w:spacing w:after="140" w:line="276"/>
      </w:pPr>
      <w:r>
        <w:t xml:space="preserve">The Academy supplies and upskills the neutral side of the marketplace and builds brand authority, while opening a direct revenue line.</w:t>
      </w:r>
    </w:p>
    <w:p>
      <w:pPr>
        <w:pStyle w:val="ListParagraph"/>
        <w:numPr>
          <w:ilvl w:val="0"/>
          <w:numId w:val="2"/>
        </w:numPr>
        <w:spacing w:after="60" w:line="270"/>
      </w:pPr>
      <w:r>
        <w:t xml:space="preserve">Tracks: case-manager certification, mediator / conciliator training, arbitrator development, POSH-IC training, and corporate L&amp;D.</w:t>
      </w:r>
    </w:p>
    <w:p>
      <w:pPr>
        <w:pStyle w:val="ListParagraph"/>
        <w:numPr>
          <w:ilvl w:val="0"/>
          <w:numId w:val="2"/>
        </w:numPr>
        <w:spacing w:after="60" w:line="270"/>
      </w:pPr>
      <w:r>
        <w:t xml:space="preserve">LMS features: courses, assessments, proctored certification, CPD credits, and a verifiable certificate (optionally anchored for authenticity).</w:t>
      </w:r>
    </w:p>
    <w:p>
      <w:pPr>
        <w:pStyle w:val="ListParagraph"/>
        <w:numPr>
          <w:ilvl w:val="0"/>
          <w:numId w:val="2"/>
        </w:numPr>
        <w:spacing w:after="60" w:line="270"/>
      </w:pPr>
      <w:r>
        <w:t xml:space="preserve">Funnel: certified professionals can apply for empanelment, feeding the allocation pool directly.</w:t>
      </w:r>
    </w:p>
    <w:p>
      <w:r>
        <w:br w:type="page"/>
      </w:r>
    </w:p>
    <w:p>
      <w:pPr>
        <w:pStyle w:val="Heading1"/>
      </w:pPr>
      <w:r>
        <w:t xml:space="preserve">15. Reliability, Observability &amp; Operations</w:t>
      </w:r>
    </w:p>
    <w:p>
      <w:pPr>
        <w:spacing w:after="140" w:line="276"/>
      </w:pPr>
      <w:r>
        <w:t xml:space="preserve">Reliability is treated as a feature with explicit targets, not an aspiration. The platform is observable by design (you cannot operate what you cannot see), recoverable by design (failures are assumed, not feared), and operable by design (routine actions are safe and auditable). This section states the operating posture at architecture level; the full specification — service-level objectives and error budgets, the capacity model, the disaster-recovery runbook, the observability tooling and the integration interface contracts — is in the companion NFR &amp; Operations Pack (DOC-12), and the test strategy that proves it (including failover game-days) is in DOC-13.</w:t>
      </w:r>
    </w:p>
    <w:p>
      <w:pPr>
        <w:pStyle w:val="Heading2"/>
      </w:pPr>
      <w:r>
        <w:t xml:space="preserve">15.1 Observability</w:t>
      </w:r>
    </w:p>
    <w:p>
      <w:pPr>
        <w:spacing w:after="140" w:line="276"/>
      </w:pPr>
      <w:r>
        <w:t xml:space="preserve">The goal is that an on-call engineer can answer ‘what is broken, where, and is it breaching a deadline?’ within minutes. Three signal layers combine: distributed traces follow a request across services, metrics track the golden signals and business KPIs, and structured logs (with no PII) feed the SIEM. Crucially, observability here is not only technical — the platform dashboards the legal clocks alongside the infrastructure ones, because a missed statutory deadline is as serious an incident as a service outage.</w:t>
      </w:r>
    </w:p>
    <w:p>
      <w:pPr>
        <w:pStyle w:val="ListParagraph"/>
        <w:numPr>
          <w:ilvl w:val="0"/>
          <w:numId w:val="2"/>
        </w:numPr>
        <w:spacing w:after="60" w:line="270"/>
      </w:pPr>
      <w:r>
        <w:t xml:space="preserve">Distributed tracing across services (OpenTelemetry); correlation IDs propagate from gateway to DB.</w:t>
      </w:r>
    </w:p>
    <w:p>
      <w:pPr>
        <w:pStyle w:val="ListParagraph"/>
        <w:numPr>
          <w:ilvl w:val="0"/>
          <w:numId w:val="2"/>
        </w:numPr>
        <w:spacing w:after="60" w:line="270"/>
      </w:pPr>
      <w:r>
        <w:t xml:space="preserve">Golden signals (latency, traffic, errors, saturation) dashboards per service; business KPIs (cases filed, time-to-resolution, SLA breaches).</w:t>
      </w:r>
    </w:p>
    <w:p>
      <w:pPr>
        <w:pStyle w:val="ListParagraph"/>
        <w:numPr>
          <w:ilvl w:val="0"/>
          <w:numId w:val="2"/>
        </w:numPr>
        <w:spacing w:after="60" w:line="270"/>
      </w:pPr>
      <w:r>
        <w:t xml:space="preserve">Proactive SLA-breach and compliance-clock alerts (e.g., approaching 120-day mediation or 90-day POSH inquiry).</w:t>
      </w:r>
    </w:p>
    <w:p>
      <w:pPr>
        <w:pStyle w:val="Heading2"/>
      </w:pPr>
      <w:r>
        <w:t xml:space="preserve">15.2 Reliability &amp; DR</w:t>
      </w:r>
    </w:p>
    <w:p>
      <w:pPr>
        <w:spacing w:after="140" w:line="276"/>
      </w:pPr>
      <w:r>
        <w:t xml:space="preserve">Core case services run across multiple availability zones so a single zone failure is survivable without data loss, and a second region stands ready for disaster recovery. The recovery targets are deliberately strict for the data that matters most: the compliance clock and the audit log are the last things allowed to lose data, because a corrupted deadline or a gap in the audit trail can undermine an award. Recovery is not assumed to work because it is configured — it is tested with periodic restore drills and failover exercises, and the results are kept as evidence (control CTRL-012, DOC-11).</w:t>
      </w:r>
    </w:p>
    <w:p>
      <w:pPr>
        <w:pStyle w:val="ListParagraph"/>
        <w:numPr>
          <w:ilvl w:val="0"/>
          <w:numId w:val="2"/>
        </w:numPr>
        <w:spacing w:after="60" w:line="270"/>
      </w:pPr>
      <w:r>
        <w:t xml:space="preserve">Multi-AZ for core; automated backups with point-in-time recovery; periodic restore drills.</w:t>
      </w:r>
    </w:p>
    <w:p>
      <w:pPr>
        <w:pStyle w:val="ListParagraph"/>
        <w:numPr>
          <w:ilvl w:val="0"/>
          <w:numId w:val="2"/>
        </w:numPr>
        <w:spacing w:after="60" w:line="270"/>
      </w:pPr>
      <w:r>
        <w:t xml:space="preserve">RPO ≤ 15 min, RTO ≤ 2 h for core case services; documented runbooks; chaos / failover testing.</w:t>
      </w:r>
    </w:p>
    <w:p>
      <w:pPr>
        <w:pStyle w:val="ListParagraph"/>
        <w:numPr>
          <w:ilvl w:val="0"/>
          <w:numId w:val="2"/>
        </w:numPr>
        <w:spacing w:after="60" w:line="270"/>
      </w:pPr>
      <w:r>
        <w:t xml:space="preserve">Graceful degradation: if video or AI is down, case progress and document/e-sign remain available.</w:t>
      </w:r>
    </w:p>
    <w:p>
      <w:pPr>
        <w:pStyle w:val="Heading2"/>
      </w:pPr>
      <w:r>
        <w:t xml:space="preserve">15.3 Support &amp; operations</w:t>
      </w:r>
    </w:p>
    <w:p>
      <w:pPr>
        <w:spacing w:after="140" w:line="276"/>
      </w:pPr>
      <w:r>
        <w:t xml:space="preserve">Day-to-day operations must be helpful without becoming a side-channel to confidential data. Support is tiered (self-serve knowledge base, then agent, then specialist escalation), and every support tool is audit-aware: a staff member assisting on a POSH or marital case sees only what their role permits, and the access is logged with break-glass treatment for exceptional cases. Operational changes that alter how matters are decided — rulesets, fee schedules, document templates — are never ad hoc; they are versioned, peer-approved and traceable, mirroring the configuration governance in §19.5 and the change-advisory cadence in the Master Index (DOC-00, §4.1).</w:t>
      </w:r>
    </w:p>
    <w:p>
      <w:pPr>
        <w:pStyle w:val="ListParagraph"/>
        <w:numPr>
          <w:ilvl w:val="0"/>
          <w:numId w:val="2"/>
        </w:numPr>
        <w:spacing w:after="60" w:line="270"/>
      </w:pPr>
      <w:r>
        <w:t xml:space="preserve">Tiered support (self-serve, agent, escalation) with audit-aware tooling; staff actions on confidential cases logged.</w:t>
      </w:r>
    </w:p>
    <w:p>
      <w:pPr>
        <w:pStyle w:val="ListParagraph"/>
        <w:numPr>
          <w:ilvl w:val="0"/>
          <w:numId w:val="2"/>
        </w:numPr>
        <w:spacing w:after="60" w:line="270"/>
      </w:pPr>
      <w:r>
        <w:t xml:space="preserve">Configuration changes (rulesets, fee schedules, templates) versioned and peer-approved.</w:t>
      </w:r>
    </w:p>
    <w:p>
      <w:r>
        <w:br w:type="page"/>
      </w:r>
    </w:p>
    <w:p>
      <w:pPr>
        <w:pStyle w:val="Heading1"/>
      </w:pPr>
      <w:r>
        <w:t xml:space="preserve">16. Phased Delivery Roadmap</w:t>
      </w:r>
    </w:p>
    <w:p>
      <w:pPr>
        <w:spacing w:after="140" w:line="276"/>
      </w:pPr>
      <w:r>
        <w:t xml:space="preserve">A pragmatic sequence that delivers a defensible MVP, then deepens verticals, then scales and globalises. Timelines are indicative and should be sized against team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3760"/>
        <w:gridCol w:w="2400"/>
      </w:tblGrid>
      <w:tr>
        <w:trPr>
          <w:tblHeader/>
        </w:trPr>
        <w:tc>
          <w:tcPr>
            <w:tcW w:type="dxa" w:w="15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6"/>
                <w:szCs w:val="16"/>
              </w:rPr>
              <w:t xml:space="preserve">Phase</w:t>
            </w:r>
          </w:p>
        </w:tc>
        <w:tc>
          <w:tcPr>
            <w:tcW w:type="dxa" w:w="17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6"/>
                <w:szCs w:val="16"/>
              </w:rPr>
              <w:t xml:space="preserve">Focus</w:t>
            </w:r>
          </w:p>
        </w:tc>
        <w:tc>
          <w:tcPr>
            <w:tcW w:type="dxa" w:w="376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6"/>
                <w:szCs w:val="16"/>
              </w:rPr>
              <w:t xml:space="preserve">Headline scope</w:t>
            </w:r>
          </w:p>
        </w:tc>
        <w:tc>
          <w:tcPr>
            <w:tcW w:type="dxa" w:w="24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6"/>
                <w:szCs w:val="16"/>
              </w:rPr>
              <w:t xml:space="preserve">Outcome</w:t>
            </w:r>
          </w:p>
        </w:tc>
      </w:tr>
      <w:tr>
        <w:tc>
          <w:tcPr>
            <w:tcW w:type="dxa" w:w="1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Phase 0 (0–2 mo)</w:t>
            </w:r>
          </w:p>
        </w:tc>
        <w:tc>
          <w:tcPr>
            <w:tcW w:type="dxa" w:w="1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Foundations</w:t>
            </w:r>
          </w:p>
        </w:tc>
        <w:tc>
          <w:tcPr>
            <w:tcW w:type="dxa" w:w="37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Identity, tenanting, config plane, audit, design system, IaC</w:t>
            </w:r>
          </w:p>
        </w:tc>
        <w:tc>
          <w:tcPr>
            <w:tcW w:type="dxa" w:w="24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Secure skeleton &amp; environments.</w:t>
            </w:r>
          </w:p>
        </w:tc>
      </w:tr>
      <w:tr>
        <w:tc>
          <w:tcPr>
            <w:tcW w:type="dxa" w:w="1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Phase 1 (2–5 mo)</w:t>
            </w:r>
          </w:p>
        </w:tc>
        <w:tc>
          <w:tcPr>
            <w:tcW w:type="dxa" w:w="1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MVP — one vertical</w:t>
            </w:r>
          </w:p>
        </w:tc>
        <w:tc>
          <w:tcPr>
            <w:tcW w:type="dxa" w:w="37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Intake, case core, neutral allocation, hearings, documents, e-sign, payments, EDRS for Commercial OR NBFC</w:t>
            </w:r>
          </w:p>
        </w:tc>
        <w:tc>
          <w:tcPr>
            <w:tcW w:type="dxa" w:w="24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First real cases resolved end-to-end.</w:t>
            </w:r>
          </w:p>
        </w:tc>
      </w:tr>
      <w:tr>
        <w:tc>
          <w:tcPr>
            <w:tcW w:type="dxa" w:w="1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Phase 2 (5–8 mo)</w:t>
            </w:r>
          </w:p>
        </w:tc>
        <w:tc>
          <w:tcPr>
            <w:tcW w:type="dxa" w:w="1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Mediation + Family</w:t>
            </w:r>
          </w:p>
        </w:tc>
        <w:tc>
          <w:tcPr>
            <w:tcW w:type="dxa" w:w="37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Mediation workspace, MSA, family intake &amp; sensitivity controls, conciliation ladder</w:t>
            </w:r>
          </w:p>
        </w:tc>
        <w:tc>
          <w:tcPr>
            <w:tcW w:type="dxa" w:w="24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Family &amp; mediation live; settlement flows.</w:t>
            </w:r>
          </w:p>
        </w:tc>
      </w:tr>
      <w:tr>
        <w:tc>
          <w:tcPr>
            <w:tcW w:type="dxa" w:w="1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Phase 3 (8–11 mo)</w:t>
            </w:r>
          </w:p>
        </w:tc>
        <w:tc>
          <w:tcPr>
            <w:tcW w:type="dxa" w:w="1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NBFC at scale</w:t>
            </w:r>
          </w:p>
        </w:tc>
        <w:tc>
          <w:tcPr>
            <w:tcW w:type="dxa" w:w="37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Bulk intake, round-robin allocation, lender APIs/webhooks, recovery &amp; settlement plans</w:t>
            </w:r>
          </w:p>
        </w:tc>
        <w:tc>
          <w:tcPr>
            <w:tcW w:type="dxa" w:w="24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High-volume NBFC pipeline.</w:t>
            </w:r>
          </w:p>
        </w:tc>
      </w:tr>
      <w:tr>
        <w:tc>
          <w:tcPr>
            <w:tcW w:type="dxa" w:w="1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Phase 4 (11–14 mo)</w:t>
            </w:r>
          </w:p>
        </w:tc>
        <w:tc>
          <w:tcPr>
            <w:tcW w:type="dxa" w:w="1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Enterprise grievance &amp; POSH</w:t>
            </w:r>
          </w:p>
        </w:tc>
        <w:tc>
          <w:tcPr>
            <w:tcW w:type="dxa" w:w="37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Grievance portal, IC workspace, POSH tier, escalation to EDRS</w:t>
            </w:r>
          </w:p>
        </w:tc>
        <w:tc>
          <w:tcPr>
            <w:tcW w:type="dxa" w:w="24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B2B internal-redressal product.</w:t>
            </w:r>
          </w:p>
        </w:tc>
      </w:tr>
      <w:tr>
        <w:tc>
          <w:tcPr>
            <w:tcW w:type="dxa" w:w="1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Phase 5 (14–18 mo)</w:t>
            </w:r>
          </w:p>
        </w:tc>
        <w:tc>
          <w:tcPr>
            <w:tcW w:type="dxa" w:w="1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Private Court + Academy</w:t>
            </w:r>
          </w:p>
        </w:tc>
        <w:tc>
          <w:tcPr>
            <w:tcW w:type="dxa" w:w="37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Self-managed tenants, branding, LMS &amp; certification, empanelment funnel</w:t>
            </w:r>
          </w:p>
        </w:tc>
        <w:tc>
          <w:tcPr>
            <w:tcW w:type="dxa" w:w="24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Supply-side flywheel &amp; SaaS revenue.</w:t>
            </w:r>
          </w:p>
        </w:tc>
      </w:tr>
      <w:tr>
        <w:tc>
          <w:tcPr>
            <w:tcW w:type="dxa" w:w="1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Phase 6 (18 mo+)</w:t>
            </w:r>
          </w:p>
        </w:tc>
        <w:tc>
          <w:tcPr>
            <w:tcW w:type="dxa" w:w="1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Scale &amp; global</w:t>
            </w:r>
          </w:p>
        </w:tc>
        <w:tc>
          <w:tcPr>
            <w:tcW w:type="dxa" w:w="37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Mobile, advanced AI, new jurisdiction rulesets, white-label/embeds</w:t>
            </w:r>
          </w:p>
        </w:tc>
        <w:tc>
          <w:tcPr>
            <w:tcW w:type="dxa" w:w="24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Multi-jurisdiction platform.</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2F8" w:sz="1"/>
              <w:left w:val="single" w:color="0E7C7B" w:sz="24"/>
              <w:bottom w:val="single" w:color="EAF2F8" w:sz="1"/>
              <w:right w:val="single" w:color="EAF2F8" w:sz="1"/>
            </w:tcBorders>
            <w:shd w:fill="EAF2F8" w:val="clear"/>
            <w:tcMar>
              <w:top w:type="dxa" w:w="120"/>
              <w:left w:type="dxa" w:w="160"/>
              <w:bottom w:type="dxa" w:w="120"/>
              <w:right w:type="dxa" w:w="160"/>
            </w:tcMar>
          </w:tcPr>
          <w:p>
            <w:pPr>
              <w:spacing w:after="60"/>
            </w:pPr>
            <w:r>
              <w:rPr>
                <w:b/>
                <w:bCs/>
                <w:color w:val="0B2A4A"/>
                <w:sz w:val="20"/>
                <w:szCs w:val="20"/>
              </w:rPr>
              <w:t xml:space="preserve">Sequencing advice</w:t>
            </w:r>
          </w:p>
          <w:p>
            <w:pPr>
              <w:spacing w:after="0"/>
            </w:pPr>
            <w:r>
              <w:rPr>
                <w:color w:val="1F2937"/>
                <w:sz w:val="19"/>
                <w:szCs w:val="19"/>
              </w:rPr>
              <w:t xml:space="preserve">Pick ONE launch vertical for Phase 1 based on fastest path to real volume and a warm design partner — commonly NBFC (clause-driven, a single client supplies many cases) or commercial (higher value per case). Resist building all five pillars before the first is proven end-to-end.</w:t>
            </w:r>
          </w:p>
        </w:tc>
      </w:tr>
    </w:tbl>
    <w:p>
      <w:r>
        <w:br w:type="page"/>
      </w:r>
    </w:p>
    <w:p>
      <w:pPr>
        <w:pStyle w:val="Heading1"/>
      </w:pPr>
      <w:r>
        <w:t xml:space="preserve">17. 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6"/>
                <w:szCs w:val="16"/>
              </w:rPr>
              <w:t xml:space="preserve">Risk</w:t>
            </w:r>
          </w:p>
        </w:tc>
        <w:tc>
          <w:tcPr>
            <w:tcW w:type="dxa" w:w="15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6"/>
                <w:szCs w:val="16"/>
              </w:rPr>
              <w:t xml:space="preserve">Type</w:t>
            </w:r>
          </w:p>
        </w:tc>
        <w:tc>
          <w:tcPr>
            <w:tcW w:type="dxa" w:w="486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6"/>
                <w:szCs w:val="16"/>
              </w:rPr>
              <w:t xml:space="preserve">Mitigation</w:t>
            </w:r>
          </w:p>
        </w:tc>
      </w:tr>
      <w:tr>
        <w:tc>
          <w:tcPr>
            <w:tcW w:type="dxa" w:w="30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Regulatory change (arbitration / mediation / RBI)</w:t>
            </w:r>
          </w:p>
        </w:tc>
        <w:tc>
          <w:tcPr>
            <w:tcW w:type="dxa" w:w="1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Compliance</w:t>
            </w:r>
          </w:p>
        </w:tc>
        <w:tc>
          <w:tcPr>
            <w:tcW w:type="dxa" w:w="48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Configuration-driven rulesets; controls register; legal watch.</w:t>
            </w:r>
          </w:p>
        </w:tc>
      </w:tr>
      <w:tr>
        <w:tc>
          <w:tcPr>
            <w:tcW w:type="dxa" w:w="30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Enforceability challenges to e-signed awards</w:t>
            </w:r>
          </w:p>
        </w:tc>
        <w:tc>
          <w:tcPr>
            <w:tcW w:type="dxa" w:w="1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Legal</w:t>
            </w:r>
          </w:p>
        </w:tc>
        <w:tc>
          <w:tcPr>
            <w:tcW w:type="dxa" w:w="48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Certified e-sign + e-stamp; tamper-evident audit; certificates of authenticity.</w:t>
            </w:r>
          </w:p>
        </w:tc>
      </w:tr>
      <w:tr>
        <w:tc>
          <w:tcPr>
            <w:tcW w:type="dxa" w:w="30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Confidentiality breach (POSH / marital)</w:t>
            </w:r>
          </w:p>
        </w:tc>
        <w:tc>
          <w:tcPr>
            <w:tcW w:type="dxa" w:w="1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Security</w:t>
            </w:r>
          </w:p>
        </w:tc>
        <w:tc>
          <w:tcPr>
            <w:tcW w:type="dxa" w:w="48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Tiered encryption, field-level PII protection, need-to-know, break-glass logging.</w:t>
            </w:r>
          </w:p>
        </w:tc>
      </w:tr>
      <w:tr>
        <w:tc>
          <w:tcPr>
            <w:tcW w:type="dxa" w:w="30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Neutral supply shortage</w:t>
            </w:r>
          </w:p>
        </w:tc>
        <w:tc>
          <w:tcPr>
            <w:tcW w:type="dxa" w:w="1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Marketplace</w:t>
            </w:r>
          </w:p>
        </w:tc>
        <w:tc>
          <w:tcPr>
            <w:tcW w:type="dxa" w:w="48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Academy funnel; empanelment incentives; Private Court attracts neutrals.</w:t>
            </w:r>
          </w:p>
        </w:tc>
      </w:tr>
      <w:tr>
        <w:tc>
          <w:tcPr>
            <w:tcW w:type="dxa" w:w="30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Two-sided cold-start</w:t>
            </w:r>
          </w:p>
        </w:tc>
        <w:tc>
          <w:tcPr>
            <w:tcW w:type="dxa" w:w="1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GTM</w:t>
            </w:r>
          </w:p>
        </w:tc>
        <w:tc>
          <w:tcPr>
            <w:tcW w:type="dxa" w:w="48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Anchor NBFC/commercial client for demand; seed neutrals via Academy.</w:t>
            </w:r>
          </w:p>
        </w:tc>
      </w:tr>
      <w:tr>
        <w:tc>
          <w:tcPr>
            <w:tcW w:type="dxa" w:w="30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Bulk-intake data quality (NBFC)</w:t>
            </w:r>
          </w:p>
        </w:tc>
        <w:tc>
          <w:tcPr>
            <w:tcW w:type="dxa" w:w="1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Operational</w:t>
            </w:r>
          </w:p>
        </w:tc>
        <w:tc>
          <w:tcPr>
            <w:tcW w:type="dxa" w:w="48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Validation, idempotency, exception queues, reconciliation.</w:t>
            </w:r>
          </w:p>
        </w:tc>
      </w:tr>
      <w:tr>
        <w:tc>
          <w:tcPr>
            <w:tcW w:type="dxa" w:w="30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Vendor lock-in (KYC/eSign/video)</w:t>
            </w:r>
          </w:p>
        </w:tc>
        <w:tc>
          <w:tcPr>
            <w:tcW w:type="dxa" w:w="1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Technical</w:t>
            </w:r>
          </w:p>
        </w:tc>
        <w:tc>
          <w:tcPr>
            <w:tcW w:type="dxa" w:w="48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Provider-abstraction adapters; ≥2 providers per capability.</w:t>
            </w:r>
          </w:p>
        </w:tc>
      </w:tr>
      <w:tr>
        <w:tc>
          <w:tcPr>
            <w:tcW w:type="dxa" w:w="30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AI errors / over-reliance</w:t>
            </w:r>
          </w:p>
        </w:tc>
        <w:tc>
          <w:tcPr>
            <w:tcW w:type="dxa" w:w="1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Trust</w:t>
            </w:r>
          </w:p>
        </w:tc>
        <w:tc>
          <w:tcPr>
            <w:tcW w:type="dxa" w:w="48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Human-in-the-loop; advisory-only; attribution; private inference for sensitive tiers.</w:t>
            </w:r>
          </w:p>
        </w:tc>
      </w:tr>
      <w:tr>
        <w:tc>
          <w:tcPr>
            <w:tcW w:type="dxa" w:w="30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Data-residency / cross-border</w:t>
            </w:r>
          </w:p>
        </w:tc>
        <w:tc>
          <w:tcPr>
            <w:tcW w:type="dxa" w:w="1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Compliance</w:t>
            </w:r>
          </w:p>
        </w:tc>
        <w:tc>
          <w:tcPr>
            <w:tcW w:type="dxa" w:w="48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Per-jurisdiction residency zones; India data in India.</w:t>
            </w:r>
          </w:p>
        </w:tc>
      </w:tr>
      <w:tr>
        <w:tc>
          <w:tcPr>
            <w:tcW w:type="dxa" w:w="30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Scaling cost</w:t>
            </w:r>
          </w:p>
        </w:tc>
        <w:tc>
          <w:tcPr>
            <w:tcW w:type="dxa" w:w="1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Financial</w:t>
            </w:r>
          </w:p>
        </w:tc>
        <w:tc>
          <w:tcPr>
            <w:tcW w:type="dxa" w:w="48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Managed services, autoscaling, async pipelines, phased build.</w:t>
            </w:r>
          </w:p>
        </w:tc>
      </w:tr>
    </w:tbl>
    <w:p>
      <w:r>
        <w:br w:type="page"/>
      </w:r>
    </w:p>
    <w:p>
      <w:pPr>
        <w:pStyle w:val="Heading1"/>
      </w:pPr>
      <w:r>
        <w:t xml:space="preserve">19. Architecture Enhancements (v1.1)</w:t>
      </w:r>
    </w:p>
    <w:p>
      <w:pPr>
        <w:spacing w:after="140" w:line="276"/>
      </w:pPr>
      <w:r>
        <w:t xml:space="preserve">This section adds twelve enhancements identified after the v1.0 baseline. Each is specified at the same level as the rest of this document — concept, why it matters, and the concrete build implication — and each has corresponding tables in the companion Forms &amp; Database Specification (new tables are listed in §19.13). They are grouped into three tiers: foundational integrity (must-build), refinements, and forward-looking bets.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2F8" w:sz="1"/>
              <w:left w:val="single" w:color="0E7C7B" w:sz="24"/>
              <w:bottom w:val="single" w:color="EAF2F8" w:sz="1"/>
              <w:right w:val="single" w:color="EAF2F8" w:sz="1"/>
            </w:tcBorders>
            <w:shd w:fill="EAF2F8" w:val="clear"/>
            <w:tcMar>
              <w:top w:type="dxa" w:w="120"/>
              <w:left w:type="dxa" w:w="160"/>
              <w:bottom w:type="dxa" w:w="120"/>
              <w:right w:type="dxa" w:w="160"/>
            </w:tcMar>
          </w:tcPr>
          <w:p>
            <w:pPr>
              <w:spacing w:after="60"/>
            </w:pPr>
            <w:r>
              <w:rPr>
                <w:b/>
                <w:bCs/>
                <w:color w:val="0B2A4A"/>
                <w:sz w:val="20"/>
                <w:szCs w:val="20"/>
              </w:rPr>
              <w:t xml:space="preserve">How to read this section</w:t>
            </w:r>
          </w:p>
          <w:p>
            <w:pPr>
              <w:spacing w:after="0"/>
            </w:pPr>
            <w:r>
              <w:rPr>
                <w:color w:val="1F2937"/>
                <w:sz w:val="19"/>
                <w:szCs w:val="19"/>
              </w:rPr>
              <w:t xml:space="preserve">The four foundational items (19.1 Escalation Contract, 19.2 Conflicts Engine, 19.4 Service-of-Process, 19.5 Ruleset Versioning) are prerequisites for enforceable, defensible outcomes and should be scheduled early — ideally within the Phase-1/2 window of the roadmap (§16). The remainder can follow as the relevant pillar matures.</w:t>
            </w:r>
          </w:p>
        </w:tc>
      </w:tr>
    </w:tbl>
    <w:p>
      <w:pPr>
        <w:spacing w:after="80"/>
      </w:pPr>
      <w:r>
        <w:t xml:space="preserve"/>
      </w:r>
    </w:p>
    <w:p>
      <w:pPr>
        <w:pStyle w:val="Heading2"/>
      </w:pPr>
      <w:r>
        <w:t xml:space="preserve">19.0 Summary of the twelve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4400"/>
        <w:gridCol w:w="1600"/>
        <w:gridCol w:w="2910"/>
      </w:tblGrid>
      <w:tr>
        <w:trPr>
          <w:tblHeader/>
        </w:trPr>
        <w:tc>
          <w:tcPr>
            <w:tcW w:type="dxa" w:w="45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7"/>
                <w:szCs w:val="17"/>
              </w:rPr>
              <w:t xml:space="preserve">#</w:t>
            </w:r>
          </w:p>
        </w:tc>
        <w:tc>
          <w:tcPr>
            <w:tcW w:type="dxa" w:w="44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7"/>
                <w:szCs w:val="17"/>
              </w:rPr>
              <w:t xml:space="preserve">Enhancement</w:t>
            </w:r>
          </w:p>
        </w:tc>
        <w:tc>
          <w:tcPr>
            <w:tcW w:type="dxa" w:w="16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7"/>
                <w:szCs w:val="17"/>
              </w:rPr>
              <w:t xml:space="preserve">Tier</w:t>
            </w:r>
          </w:p>
        </w:tc>
        <w:tc>
          <w:tcPr>
            <w:tcW w:type="dxa" w:w="291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7"/>
                <w:szCs w:val="17"/>
              </w:rPr>
              <w:t xml:space="preserve">Primary build artefact</w:t>
            </w:r>
          </w:p>
        </w:tc>
      </w:tr>
      <w:tr>
        <w:tc>
          <w:tcPr>
            <w:tcW w:type="dxa" w:w="4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1</w:t>
            </w:r>
          </w:p>
        </w:tc>
        <w:tc>
          <w:tcPr>
            <w:tcW w:type="dxa" w:w="44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Escalation Contract (cross-stage / cross-domain hand-off)</w:t>
            </w:r>
          </w:p>
        </w:tc>
        <w:tc>
          <w:tcPr>
            <w:tcW w:type="dxa" w:w="16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Foundational</w:t>
            </w:r>
          </w:p>
        </w:tc>
        <w:tc>
          <w:tcPr>
            <w:tcW w:type="dxa" w:w="291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escalation_contracts table + hand-off service</w:t>
            </w:r>
          </w:p>
        </w:tc>
      </w:tr>
      <w:tr>
        <w:tc>
          <w:tcPr>
            <w:tcW w:type="dxa" w:w="4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2</w:t>
            </w:r>
          </w:p>
        </w:tc>
        <w:tc>
          <w:tcPr>
            <w:tcW w:type="dxa" w:w="44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Conflict-of-Interest Engine (conflicts graph)</w:t>
            </w:r>
          </w:p>
        </w:tc>
        <w:tc>
          <w:tcPr>
            <w:tcW w:type="dxa" w:w="16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Foundational</w:t>
            </w:r>
          </w:p>
        </w:tc>
        <w:tc>
          <w:tcPr>
            <w:tcW w:type="dxa" w:w="291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conflict_graph, conflict_edges, conflict_checks</w:t>
            </w:r>
          </w:p>
        </w:tc>
      </w:tr>
      <w:tr>
        <w:tc>
          <w:tcPr>
            <w:tcW w:type="dxa" w:w="4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3</w:t>
            </w:r>
          </w:p>
        </w:tc>
        <w:tc>
          <w:tcPr>
            <w:tcW w:type="dxa" w:w="44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AI / Model Governance layer</w:t>
            </w:r>
          </w:p>
        </w:tc>
        <w:tc>
          <w:tcPr>
            <w:tcW w:type="dxa" w:w="16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Foundational</w:t>
            </w:r>
          </w:p>
        </w:tc>
        <w:tc>
          <w:tcPr>
            <w:tcW w:type="dxa" w:w="291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ai_outputs, model_registry, ai_tier_policy</w:t>
            </w:r>
          </w:p>
        </w:tc>
      </w:tr>
      <w:tr>
        <w:tc>
          <w:tcPr>
            <w:tcW w:type="dxa" w:w="4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4</w:t>
            </w:r>
          </w:p>
        </w:tc>
        <w:tc>
          <w:tcPr>
            <w:tcW w:type="dxa" w:w="44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Service-of-Process (legally-defensible notice)</w:t>
            </w:r>
          </w:p>
        </w:tc>
        <w:tc>
          <w:tcPr>
            <w:tcW w:type="dxa" w:w="16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Foundational</w:t>
            </w:r>
          </w:p>
        </w:tc>
        <w:tc>
          <w:tcPr>
            <w:tcW w:type="dxa" w:w="291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service_attempts, service_certificates</w:t>
            </w:r>
          </w:p>
        </w:tc>
      </w:tr>
      <w:tr>
        <w:tc>
          <w:tcPr>
            <w:tcW w:type="dxa" w:w="4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5</w:t>
            </w:r>
          </w:p>
        </w:tc>
        <w:tc>
          <w:tcPr>
            <w:tcW w:type="dxa" w:w="44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Ruleset Versioning &amp; case pinning</w:t>
            </w:r>
          </w:p>
        </w:tc>
        <w:tc>
          <w:tcPr>
            <w:tcW w:type="dxa" w:w="16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Foundational</w:t>
            </w:r>
          </w:p>
        </w:tc>
        <w:tc>
          <w:tcPr>
            <w:tcW w:type="dxa" w:w="291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ruleset_versions + cases.ruleset_version_id</w:t>
            </w:r>
          </w:p>
        </w:tc>
      </w:tr>
      <w:tr>
        <w:tc>
          <w:tcPr>
            <w:tcW w:type="dxa" w:w="4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6</w:t>
            </w:r>
          </w:p>
        </w:tc>
        <w:tc>
          <w:tcPr>
            <w:tcW w:type="dxa" w:w="44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Evidence Integrity (hash + chain of custody)</w:t>
            </w:r>
          </w:p>
        </w:tc>
        <w:tc>
          <w:tcPr>
            <w:tcW w:type="dxa" w:w="16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Refinement</w:t>
            </w:r>
          </w:p>
        </w:tc>
        <w:tc>
          <w:tcPr>
            <w:tcW w:type="dxa" w:w="291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evidence_items, custody_log</w:t>
            </w:r>
          </w:p>
        </w:tc>
      </w:tr>
      <w:tr>
        <w:tc>
          <w:tcPr>
            <w:tcW w:type="dxa" w:w="4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7</w:t>
            </w:r>
          </w:p>
        </w:tc>
        <w:tc>
          <w:tcPr>
            <w:tcW w:type="dxa" w:w="44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Multi-party &amp; Consolidation handling</w:t>
            </w:r>
          </w:p>
        </w:tc>
        <w:tc>
          <w:tcPr>
            <w:tcW w:type="dxa" w:w="16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Refinement</w:t>
            </w:r>
          </w:p>
        </w:tc>
        <w:tc>
          <w:tcPr>
            <w:tcW w:type="dxa" w:w="291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case_relationships, case_groups</w:t>
            </w:r>
          </w:p>
        </w:tc>
      </w:tr>
      <w:tr>
        <w:tc>
          <w:tcPr>
            <w:tcW w:type="dxa" w:w="4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8</w:t>
            </w:r>
          </w:p>
        </w:tc>
        <w:tc>
          <w:tcPr>
            <w:tcW w:type="dxa" w:w="44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Settlement-Payments &amp; Escrow Ledger</w:t>
            </w:r>
          </w:p>
        </w:tc>
        <w:tc>
          <w:tcPr>
            <w:tcW w:type="dxa" w:w="16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Refinement</w:t>
            </w:r>
          </w:p>
        </w:tc>
        <w:tc>
          <w:tcPr>
            <w:tcW w:type="dxa" w:w="291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settlement_payments, escrow_ledger</w:t>
            </w:r>
          </w:p>
        </w:tc>
      </w:tr>
      <w:tr>
        <w:tc>
          <w:tcPr>
            <w:tcW w:type="dxa" w:w="4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9</w:t>
            </w:r>
          </w:p>
        </w:tc>
        <w:tc>
          <w:tcPr>
            <w:tcW w:type="dxa" w:w="44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Legal-Clock Observability</w:t>
            </w:r>
          </w:p>
        </w:tc>
        <w:tc>
          <w:tcPr>
            <w:tcW w:type="dxa" w:w="16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Refinement</w:t>
            </w:r>
          </w:p>
        </w:tc>
        <w:tc>
          <w:tcPr>
            <w:tcW w:type="dxa" w:w="291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compliance_clock (view) + alerts</w:t>
            </w:r>
          </w:p>
        </w:tc>
      </w:tr>
      <w:tr>
        <w:tc>
          <w:tcPr>
            <w:tcW w:type="dxa" w:w="4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10</w:t>
            </w:r>
          </w:p>
        </w:tc>
        <w:tc>
          <w:tcPr>
            <w:tcW w:type="dxa" w:w="44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Cross-border &amp; Singapore Convention readiness</w:t>
            </w:r>
          </w:p>
        </w:tc>
        <w:tc>
          <w:tcPr>
            <w:tcW w:type="dxa" w:w="16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Forward bet</w:t>
            </w:r>
          </w:p>
        </w:tc>
        <w:tc>
          <w:tcPr>
            <w:tcW w:type="dxa" w:w="291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cross_border_meta on cases</w:t>
            </w:r>
          </w:p>
        </w:tc>
      </w:tr>
      <w:tr>
        <w:tc>
          <w:tcPr>
            <w:tcW w:type="dxa" w:w="4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11</w:t>
            </w:r>
          </w:p>
        </w:tc>
        <w:tc>
          <w:tcPr>
            <w:tcW w:type="dxa" w:w="44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Interoperability adapters (e-Daakhil / CMS / RBI)</w:t>
            </w:r>
          </w:p>
        </w:tc>
        <w:tc>
          <w:tcPr>
            <w:tcW w:type="dxa" w:w="16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Forward bet</w:t>
            </w:r>
          </w:p>
        </w:tc>
        <w:tc>
          <w:tcPr>
            <w:tcW w:type="dxa" w:w="291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interop_messages + adapter interfaces</w:t>
            </w:r>
          </w:p>
        </w:tc>
      </w:tr>
      <w:tr>
        <w:tc>
          <w:tcPr>
            <w:tcW w:type="dxa" w:w="4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12</w:t>
            </w:r>
          </w:p>
        </w:tc>
        <w:tc>
          <w:tcPr>
            <w:tcW w:type="dxa" w:w="44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Fairness &amp; Quality telemetry</w:t>
            </w:r>
          </w:p>
        </w:tc>
        <w:tc>
          <w:tcPr>
            <w:tcW w:type="dxa" w:w="16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Forward bet</w:t>
            </w:r>
          </w:p>
        </w:tc>
        <w:tc>
          <w:tcPr>
            <w:tcW w:type="dxa" w:w="291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quality_metrics, neutral_scorecards</w:t>
            </w:r>
          </w:p>
        </w:tc>
      </w:tr>
    </w:tbl>
    <w:p>
      <w:r>
        <w:br w:type="page"/>
      </w:r>
    </w:p>
    <w:p>
      <w:pPr>
        <w:pStyle w:val="Heading2"/>
      </w:pPr>
      <w:r>
        <w:t xml:space="preserve">19.1 Escalation Contract — the hand-off as a hard contract</w:t>
      </w:r>
    </w:p>
    <w:p>
      <w:pPr>
        <w:spacing w:after="140" w:line="276"/>
      </w:pPr>
      <w:r>
        <w:t xml:space="preserve">The platform routes matters between stages (conciliation → mediation → arbitration) and between domains (enterprise grievance → EDRS). An escalation is the precise point at which confidentiality, consent and evidence-admissibility can silently break — for example, statements made in a confidential mediation are generally not usable in a subsequent arbitration under the Mediation Act, 2023 (§22).</w:t>
      </w:r>
    </w:p>
    <w:p>
      <w:pPr>
        <w:pStyle w:val="ListParagraph"/>
        <w:numPr>
          <w:ilvl w:val="0"/>
          <w:numId w:val="2"/>
        </w:numPr>
        <w:spacing w:after="60" w:line="270"/>
      </w:pPr>
      <w:r>
        <w:rPr>
          <w:b/>
          <w:bCs/>
        </w:rPr>
        <w:t xml:space="preserve">Build: </w:t>
      </w:r>
      <w:r>
        <w:t xml:space="preserve">introduce an explicit escalation_contract object created at every cross-stage and cross-domain jump. It records what data transfers, what stays sealed, the consent captured (who, when, scope), the source and target case, and the confidentiality tier the new case inherits.</w:t>
      </w:r>
    </w:p>
    <w:p>
      <w:pPr>
        <w:pStyle w:val="ListParagraph"/>
        <w:numPr>
          <w:ilvl w:val="0"/>
          <w:numId w:val="2"/>
        </w:numPr>
        <w:spacing w:after="60" w:line="270"/>
      </w:pPr>
      <w:r>
        <w:rPr>
          <w:b/>
          <w:bCs/>
        </w:rPr>
        <w:t xml:space="preserve">Rule: </w:t>
      </w:r>
      <w:r>
        <w:t xml:space="preserve">no case may be created by escalation without a completed, consented escalation_contract; sealed material is excluded from the target case's evidence set by default.</w:t>
      </w:r>
    </w:p>
    <w:p>
      <w:pPr>
        <w:pStyle w:val="ListParagraph"/>
        <w:numPr>
          <w:ilvl w:val="0"/>
          <w:numId w:val="2"/>
        </w:numPr>
        <w:spacing w:after="60" w:line="270"/>
      </w:pPr>
      <w:r>
        <w:rPr>
          <w:b/>
          <w:bCs/>
        </w:rPr>
        <w:t xml:space="preserve">Reuse: </w:t>
      </w:r>
      <w:r>
        <w:t xml:space="preserve">one mechanism serves NBFC ladder escalations, mediation→arbitration, and grievance→EDRS, so the rule is enforced identically everywhere.</w:t>
      </w:r>
    </w:p>
    <w:p>
      <w:pPr>
        <w:spacing w:after="80"/>
      </w:pPr>
      <w:r>
        <w:t xml:space="preserve"/>
      </w:r>
    </w:p>
    <w:p>
      <w:pPr>
        <w:pStyle w:val="Heading2"/>
      </w:pPr>
      <w:r>
        <w:t xml:space="preserve">19.2 Conflict-of-Interest Engine</w:t>
      </w:r>
    </w:p>
    <w:p>
      <w:pPr>
        <w:spacing w:after="140" w:line="276"/>
      </w:pPr>
      <w:r>
        <w:t xml:space="preserve">Neutral independence is what makes an award enforceable and the institution credible; a self-declaration checkbox is insufficient. Equator maintains a conflicts graph linking neutral ↔ party ↔ counsel ↔ law firm ↔ related entities, evaluated automatically at allocation and re-evaluated whenever a new party or representative joins a case.</w:t>
      </w:r>
    </w:p>
    <w:p>
      <w:pPr>
        <w:pStyle w:val="ListParagraph"/>
        <w:numPr>
          <w:ilvl w:val="0"/>
          <w:numId w:val="2"/>
        </w:numPr>
        <w:spacing w:after="60" w:line="270"/>
      </w:pPr>
      <w:r>
        <w:rPr>
          <w:b/>
          <w:bCs/>
        </w:rPr>
        <w:t xml:space="preserve">Build: </w:t>
      </w:r>
      <w:r>
        <w:t xml:space="preserve">a conflict_graph of nodes (neutrals, parties, counsel, firms, group entities) and conflict_edges (relationship type, strength, source). Allocation calls the engine; a positive hit blocks or flags allocation and is recorded in conflict_checks.</w:t>
      </w:r>
    </w:p>
    <w:p>
      <w:pPr>
        <w:pStyle w:val="ListParagraph"/>
        <w:numPr>
          <w:ilvl w:val="0"/>
          <w:numId w:val="2"/>
        </w:numPr>
        <w:spacing w:after="60" w:line="270"/>
      </w:pPr>
      <w:r>
        <w:rPr>
          <w:b/>
          <w:bCs/>
        </w:rPr>
        <w:t xml:space="preserve">Differentiator: </w:t>
      </w:r>
      <w:r>
        <w:t xml:space="preserve">most ODR players treat conflicts lightly. A real conflicts engine wins regulated clients and survives a Section 12/13 challenge to an award.</w:t>
      </w:r>
    </w:p>
    <w:p>
      <w:pPr>
        <w:pStyle w:val="ListParagraph"/>
        <w:numPr>
          <w:ilvl w:val="0"/>
          <w:numId w:val="2"/>
        </w:numPr>
        <w:spacing w:after="60" w:line="270"/>
      </w:pPr>
      <w:r>
        <w:rPr>
          <w:b/>
          <w:bCs/>
        </w:rPr>
        <w:t xml:space="preserve">Privacy: </w:t>
      </w:r>
      <w:r>
        <w:t xml:space="preserve">the graph is computed on need-to-know; results, not the full graph, are surfaced to case actors.</w:t>
      </w:r>
    </w:p>
    <w:p>
      <w:pPr>
        <w:spacing w:after="80"/>
      </w:pPr>
      <w:r>
        <w:t xml:space="preserve"/>
      </w:r>
    </w:p>
    <w:p>
      <w:pPr>
        <w:pStyle w:val="Heading2"/>
      </w:pPr>
      <w:r>
        <w:t xml:space="preserve">19.3 AI / Model Governance layer</w:t>
      </w:r>
    </w:p>
    <w:p>
      <w:pPr>
        <w:spacing w:after="140" w:line="276"/>
      </w:pPr>
      <w:r>
        <w:t xml:space="preserve">AI is advisory-only by design, but “advisory” erodes under deadline pressure unless the system enforces it. Model governance is treated as its own concern, separate from the AI service that produces suggestions.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8"/>
                <w:szCs w:val="18"/>
              </w:rPr>
              <w:t xml:space="preserve">Control</w:t>
            </w:r>
          </w:p>
        </w:tc>
        <w:tc>
          <w:tcPr>
            <w:tcW w:type="dxa" w:w="636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8"/>
                <w:szCs w:val="18"/>
              </w:rPr>
              <w:t xml:space="preserve">What it enforces</w:t>
            </w:r>
          </w:p>
        </w:tc>
      </w:tr>
      <w:tr>
        <w:tc>
          <w:tcPr>
            <w:tcW w:type="dxa" w:w="30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Output provenance</w:t>
            </w:r>
          </w:p>
        </w:tc>
        <w:tc>
          <w:tcPr>
            <w:tcW w:type="dxa" w:w="63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Every AI output stored with model version, prompt context, timestamp and the reviewing user; surfaced as “AI-generated, reviewed by [neutral]” on anything reaching an award/MSA.</w:t>
            </w:r>
          </w:p>
        </w:tc>
      </w:tr>
      <w:tr>
        <w:tc>
          <w:tcPr>
            <w:tcW w:type="dxa" w:w="30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Tier policy (model_registry + ai_tier_policy)</w:t>
            </w:r>
          </w:p>
        </w:tc>
        <w:tc>
          <w:tcPr>
            <w:tcW w:type="dxa" w:w="63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Registry of which models are approved for which confidentiality tiers; POSH and marital tiers are barred from external models and routed to private inference.</w:t>
            </w:r>
          </w:p>
        </w:tc>
      </w:tr>
      <w:tr>
        <w:tc>
          <w:tcPr>
            <w:tcW w:type="dxa" w:w="30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Human gate</w:t>
            </w:r>
          </w:p>
        </w:tc>
        <w:tc>
          <w:tcPr>
            <w:tcW w:type="dxa" w:w="63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AI can never change case state or publish an award/settlement; a human action is always required.</w:t>
            </w:r>
          </w:p>
        </w:tc>
      </w:tr>
      <w:tr>
        <w:tc>
          <w:tcPr>
            <w:tcW w:type="dxa" w:w="30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Drift &amp; quality monitoring</w:t>
            </w:r>
          </w:p>
        </w:tc>
        <w:tc>
          <w:tcPr>
            <w:tcW w:type="dxa" w:w="63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Evaluation sets and feedback loops; flagged regressions pause the feature.</w:t>
            </w:r>
          </w:p>
        </w:tc>
      </w:tr>
      <w:tr>
        <w:tc>
          <w:tcPr>
            <w:tcW w:type="dxa" w:w="30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Auditability</w:t>
            </w:r>
          </w:p>
        </w:tc>
        <w:tc>
          <w:tcPr>
            <w:tcW w:type="dxa" w:w="63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All AI invocations recorded in the immutable audit log (§9.5).</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7ED" w:sz="1"/>
              <w:left w:val="single" w:color="B45309" w:sz="24"/>
              <w:bottom w:val="single" w:color="FFF7ED" w:sz="1"/>
              <w:right w:val="single" w:color="FFF7ED" w:sz="1"/>
            </w:tcBorders>
            <w:shd w:fill="FFF7ED" w:val="clear"/>
            <w:tcMar>
              <w:top w:type="dxa" w:w="120"/>
              <w:left w:type="dxa" w:w="160"/>
              <w:bottom w:type="dxa" w:w="120"/>
              <w:right w:type="dxa" w:w="160"/>
            </w:tcMar>
          </w:tcPr>
          <w:p>
            <w:pPr>
              <w:spacing w:after="60"/>
            </w:pPr>
            <w:r>
              <w:rPr>
                <w:b/>
                <w:bCs/>
                <w:color w:val="0B2A4A"/>
                <w:sz w:val="20"/>
                <w:szCs w:val="20"/>
              </w:rPr>
              <w:t xml:space="preserve">Why now</w:t>
            </w:r>
          </w:p>
          <w:p>
            <w:pPr>
              <w:spacing w:after="0"/>
            </w:pPr>
            <w:r>
              <w:rPr>
                <w:color w:val="1F2937"/>
                <w:sz w:val="19"/>
                <w:szCs w:val="19"/>
              </w:rPr>
              <w:t xml:space="preserve">The next wave of AI regulation will land squarely on automated assistance in legal processes. Building provenance, tier-restriction and a human gate now is inexpensive insurance and a credibility asset with regulators and enterprise buyers.</w:t>
            </w:r>
          </w:p>
        </w:tc>
      </w:tr>
    </w:tbl>
    <w:p>
      <w:r>
        <w:br w:type="page"/>
      </w:r>
    </w:p>
    <w:p>
      <w:pPr>
        <w:pStyle w:val="Heading2"/>
      </w:pPr>
      <w:r>
        <w:t xml:space="preserve">19.4 Service-of-Process — legally-defensible notice</w:t>
      </w:r>
    </w:p>
    <w:p>
      <w:pPr>
        <w:spacing w:after="140" w:line="276"/>
      </w:pPr>
      <w:r>
        <w:t xml:space="preserve">A large share of ODR matters are challenged not on the merits but on whether the respondent was properly served. The notifications module (§6.1) must therefore also be a service engine that produces defensible proof of service. This is especially critical for the NBFC pillar, where weak service is the most common reason awards are set aside at scale.</w:t>
      </w:r>
    </w:p>
    <w:p>
      <w:pPr>
        <w:pStyle w:val="ListParagraph"/>
        <w:numPr>
          <w:ilvl w:val="0"/>
          <w:numId w:val="2"/>
        </w:numPr>
        <w:spacing w:after="60" w:line="270"/>
      </w:pPr>
      <w:r>
        <w:rPr>
          <w:b/>
          <w:bCs/>
        </w:rPr>
        <w:t xml:space="preserve">Build: </w:t>
      </w:r>
      <w:r>
        <w:t xml:space="preserve">service_attempts (channel, address, dispatched/delivered/read timestamps, provider receipt, bounce/retry) and an immutable service_certificate per case summarising attempts and the deemed-service determination.</w:t>
      </w:r>
    </w:p>
    <w:p>
      <w:pPr>
        <w:pStyle w:val="ListParagraph"/>
        <w:numPr>
          <w:ilvl w:val="0"/>
          <w:numId w:val="2"/>
        </w:numPr>
        <w:spacing w:after="60" w:line="270"/>
      </w:pPr>
      <w:r>
        <w:rPr>
          <w:b/>
          <w:bCs/>
        </w:rPr>
        <w:t xml:space="preserve">Ruleset-driven: </w:t>
      </w:r>
      <w:r>
        <w:t xml:space="preserve">deemed-service rules vary by jurisdiction (e.g., email + SMS + WhatsApp + registered post with timestamps); the rule lives in the ruleset, not in code.</w:t>
      </w:r>
    </w:p>
    <w:p>
      <w:pPr>
        <w:pStyle w:val="ListParagraph"/>
        <w:numPr>
          <w:ilvl w:val="0"/>
          <w:numId w:val="2"/>
        </w:numPr>
        <w:spacing w:after="60" w:line="270"/>
      </w:pPr>
      <w:r>
        <w:rPr>
          <w:b/>
          <w:bCs/>
        </w:rPr>
        <w:t xml:space="preserve">Artefact: </w:t>
      </w:r>
      <w:r>
        <w:t xml:space="preserve">the service certificate is attached to the case and hashed into the audit chain, so service can be proven later beyond dispute.</w:t>
      </w:r>
    </w:p>
    <w:p>
      <w:pPr>
        <w:spacing w:after="80"/>
      </w:pPr>
      <w:r>
        <w:t xml:space="preserve"/>
      </w:r>
    </w:p>
    <w:p>
      <w:pPr>
        <w:pStyle w:val="Heading2"/>
      </w:pPr>
      <w:r>
        <w:t xml:space="preserve">19.5 Ruleset Versioning &amp; case pinning</w:t>
      </w:r>
    </w:p>
    <w:p>
      <w:pPr>
        <w:spacing w:after="140" w:line="276"/>
      </w:pPr>
      <w:r>
        <w:t xml:space="preserve">Rulesets are already configurable (§5.2). The subtlety: when a regulation changes mid-case, the case must continue under the ruleset it was filed under, not the latest version. Without pinning, a configuration update silently changes the rules of live cases — a compliance and audit hazard.</w:t>
      </w:r>
    </w:p>
    <w:p>
      <w:pPr>
        <w:pStyle w:val="ListParagraph"/>
        <w:numPr>
          <w:ilvl w:val="0"/>
          <w:numId w:val="2"/>
        </w:numPr>
        <w:spacing w:after="60" w:line="270"/>
      </w:pPr>
      <w:r>
        <w:rPr>
          <w:b/>
          <w:bCs/>
        </w:rPr>
        <w:t xml:space="preserve">Build: </w:t>
      </w:r>
      <w:r>
        <w:t xml:space="preserve">ruleset_versions with effective_from / effective_to dates; every case stores cases.ruleset_version_id captured at registration and used for the life of the case.</w:t>
      </w:r>
    </w:p>
    <w:p>
      <w:pPr>
        <w:pStyle w:val="ListParagraph"/>
        <w:numPr>
          <w:ilvl w:val="0"/>
          <w:numId w:val="2"/>
        </w:numPr>
        <w:spacing w:after="60" w:line="270"/>
      </w:pPr>
      <w:r>
        <w:rPr>
          <w:b/>
          <w:bCs/>
        </w:rPr>
        <w:t xml:space="preserve">Behaviour: </w:t>
      </w:r>
      <w:r>
        <w:t xml:space="preserve">new filings use the version effective on their filing date; in-flight cases are immune to later changes; version diffs are auditable.</w:t>
      </w:r>
    </w:p>
    <w:p>
      <w:pPr>
        <w:pStyle w:val="ListParagraph"/>
        <w:numPr>
          <w:ilvl w:val="0"/>
          <w:numId w:val="2"/>
        </w:numPr>
        <w:spacing w:after="60" w:line="270"/>
      </w:pPr>
      <w:r>
        <w:rPr>
          <w:b/>
          <w:bCs/>
        </w:rPr>
        <w:t xml:space="preserve">Operational: </w:t>
      </w:r>
      <w:r>
        <w:t xml:space="preserve">ruleset changes are peer-approved and versioned (consistent with §15.3 configuration governance).</w:t>
      </w:r>
    </w:p>
    <w:p>
      <w:r>
        <w:br w:type="page"/>
      </w:r>
    </w:p>
    <w:p>
      <w:pPr>
        <w:pStyle w:val="Heading2"/>
      </w:pPr>
      <w:r>
        <w:t xml:space="preserve">19.6 Evidence Integrity — hash &amp; chain of custody</w:t>
      </w:r>
    </w:p>
    <w:p>
      <w:pPr>
        <w:spacing w:after="140" w:line="276"/>
      </w:pPr>
      <w:r>
        <w:t xml:space="preserve">Documents (§6.1) are stored and versioned, which suits files; evidence needs stronger treatment. Each evidence item is hashed at ingestion, its access is logged as a chain of custody, and admissibility metadata is captured.</w:t>
      </w:r>
    </w:p>
    <w:p>
      <w:pPr>
        <w:pStyle w:val="ListParagraph"/>
        <w:numPr>
          <w:ilvl w:val="0"/>
          <w:numId w:val="2"/>
        </w:numPr>
        <w:spacing w:after="60" w:line="270"/>
      </w:pPr>
      <w:r>
        <w:rPr>
          <w:b/>
          <w:bCs/>
        </w:rPr>
        <w:t xml:space="preserve">Build: </w:t>
      </w:r>
      <w:r>
        <w:t xml:space="preserve">evidence_items (content hash, submitter, submitted_at, admissibility status) and a custody_log (every access: who, when, action). The ingestion hash is anchored to the audit chain so a party cannot later claim alteration.</w:t>
      </w:r>
    </w:p>
    <w:p>
      <w:pPr>
        <w:pStyle w:val="ListParagraph"/>
        <w:numPr>
          <w:ilvl w:val="0"/>
          <w:numId w:val="2"/>
        </w:numPr>
        <w:spacing w:after="60" w:line="270"/>
      </w:pPr>
      <w:r>
        <w:rPr>
          <w:b/>
          <w:bCs/>
        </w:rPr>
        <w:t xml:space="preserve">Outcome: </w:t>
      </w:r>
      <w:r>
        <w:t xml:space="preserve">tamper-evidence for the evidential record, distinct from ordinary document versioning.</w:t>
      </w:r>
    </w:p>
    <w:p>
      <w:pPr>
        <w:spacing w:after="80"/>
      </w:pPr>
      <w:r>
        <w:t xml:space="preserve"/>
      </w:r>
    </w:p>
    <w:p>
      <w:pPr>
        <w:pStyle w:val="Heading2"/>
      </w:pPr>
      <w:r>
        <w:t xml:space="preserve">19.7 Multi-party &amp; Consolidation handling</w:t>
      </w:r>
    </w:p>
    <w:p>
      <w:pPr>
        <w:spacing w:after="140" w:line="276"/>
      </w:pPr>
      <w:r>
        <w:t xml:space="preserve">The v1.0 model leans toward two-party cases; commercial and NBFC reality is messier — multiple respondents, multi-contract disputes, third-party impleader, and consolidation of related matters (one borrower, several loans).</w:t>
      </w:r>
    </w:p>
    <w:p>
      <w:pPr>
        <w:pStyle w:val="ListParagraph"/>
        <w:numPr>
          <w:ilvl w:val="0"/>
          <w:numId w:val="2"/>
        </w:numPr>
        <w:spacing w:after="60" w:line="270"/>
      </w:pPr>
      <w:r>
        <w:rPr>
          <w:b/>
          <w:bCs/>
        </w:rPr>
        <w:t xml:space="preserve">Build: </w:t>
      </w:r>
      <w:r>
        <w:t xml:space="preserve">case_relationships (related / consolidated / lead-member) and case_groups so allocation, fees, hearings and awards can operate on a group where appropriate.</w:t>
      </w:r>
    </w:p>
    <w:p>
      <w:pPr>
        <w:pStyle w:val="ListParagraph"/>
        <w:numPr>
          <w:ilvl w:val="0"/>
          <w:numId w:val="2"/>
        </w:numPr>
        <w:spacing w:after="60" w:line="270"/>
      </w:pPr>
      <w:r>
        <w:rPr>
          <w:b/>
          <w:bCs/>
        </w:rPr>
        <w:t xml:space="preserve">Why now: </w:t>
      </w:r>
      <w:r>
        <w:t xml:space="preserve">so much downstream logic assumes a single case boundary that retrofitting consolidation later is costly; modelling the relationships now keeps options open.</w:t>
      </w:r>
    </w:p>
    <w:p>
      <w:pPr>
        <w:spacing w:after="80"/>
      </w:pPr>
      <w:r>
        <w:t xml:space="preserve"/>
      </w:r>
    </w:p>
    <w:p>
      <w:pPr>
        <w:pStyle w:val="Heading2"/>
      </w:pPr>
      <w:r>
        <w:t xml:space="preserve">19.8 Settlement-Payments &amp; Escrow Ledger</w:t>
      </w:r>
    </w:p>
    <w:p>
      <w:pPr>
        <w:spacing w:after="140" w:line="276"/>
      </w:pPr>
      <w:r>
        <w:t xml:space="preserve">Fees to Equator live in billing (§6.1). Money flowing between disputing parties — settlements, instalments, escrow — carries different reconciliation, refund and regulatory weight and deserves its own ledger and state machine, separate from platform-revenue billing. The NBFC recovery flow depends on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8"/>
                <w:szCs w:val="18"/>
              </w:rPr>
              <w:t xml:space="preserve">State</w:t>
            </w:r>
          </w:p>
        </w:tc>
        <w:tc>
          <w:tcPr>
            <w:tcW w:type="dxa" w:w="706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8"/>
                <w:szCs w:val="18"/>
              </w:rPr>
              <w:t xml:space="preserve">Meaning</w:t>
            </w:r>
          </w:p>
        </w:tc>
      </w:tr>
      <w:tr>
        <w:tc>
          <w:tcPr>
            <w:tcW w:type="dxa" w:w="23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HELD</w:t>
            </w:r>
          </w:p>
        </w:tc>
        <w:tc>
          <w:tcPr>
            <w:tcW w:type="dxa" w:w="70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Funds received into escrow, not yet released.</w:t>
            </w:r>
          </w:p>
        </w:tc>
      </w:tr>
      <w:tr>
        <w:tc>
          <w:tcPr>
            <w:tcW w:type="dxa" w:w="23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RELEASED</w:t>
            </w:r>
          </w:p>
        </w:tc>
        <w:tc>
          <w:tcPr>
            <w:tcW w:type="dxa" w:w="70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Disbursed to the receiving party per settlement terms.</w:t>
            </w:r>
          </w:p>
        </w:tc>
      </w:tr>
      <w:tr>
        <w:tc>
          <w:tcPr>
            <w:tcW w:type="dxa" w:w="23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PARTIAL</w:t>
            </w:r>
          </w:p>
        </w:tc>
        <w:tc>
          <w:tcPr>
            <w:tcW w:type="dxa" w:w="70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Instalment received; balance outstanding.</w:t>
            </w:r>
          </w:p>
        </w:tc>
      </w:tr>
      <w:tr>
        <w:tc>
          <w:tcPr>
            <w:tcW w:type="dxa" w:w="23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REFUNDED</w:t>
            </w:r>
          </w:p>
        </w:tc>
        <w:tc>
          <w:tcPr>
            <w:tcW w:type="dxa" w:w="70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7"/>
                <w:szCs w:val="17"/>
              </w:rPr>
              <w:t xml:space="preserve">Returned to payer (e.g., failed settlement).</w:t>
            </w:r>
          </w:p>
        </w:tc>
      </w:tr>
      <w:tr>
        <w:tc>
          <w:tcPr>
            <w:tcW w:type="dxa" w:w="23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DEFAULTED</w:t>
            </w:r>
          </w:p>
        </w:tc>
        <w:tc>
          <w:tcPr>
            <w:tcW w:type="dxa" w:w="70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7"/>
                <w:szCs w:val="17"/>
              </w:rPr>
              <w:t xml:space="preserve">Instalment missed; triggers follow-up / re-escalation.</w:t>
            </w:r>
          </w:p>
        </w:tc>
      </w:tr>
    </w:tbl>
    <w:p>
      <w:pPr>
        <w:pStyle w:val="ListParagraph"/>
        <w:numPr>
          <w:ilvl w:val="0"/>
          <w:numId w:val="2"/>
        </w:numPr>
        <w:spacing w:after="60" w:line="270"/>
      </w:pPr>
      <w:r>
        <w:rPr>
          <w:b/>
          <w:bCs/>
        </w:rPr>
        <w:t xml:space="preserve">Build: </w:t>
      </w:r>
      <w:r>
        <w:t xml:space="preserve">settlement_payments and an escrow_ledger with the state machine above, reconciled independently of platform invoices.</w:t>
      </w:r>
    </w:p>
    <w:p>
      <w:r>
        <w:br w:type="page"/>
      </w:r>
    </w:p>
    <w:p>
      <w:pPr>
        <w:pStyle w:val="Heading2"/>
      </w:pPr>
      <w:r>
        <w:t xml:space="preserve">19.9 Legal-Clock Observability</w:t>
      </w:r>
    </w:p>
    <w:p>
      <w:pPr>
        <w:spacing w:after="140" w:line="276"/>
      </w:pPr>
      <w:r>
        <w:t xml:space="preserve">Technical SLAs are tracked (§15.1); the higher-value signal is a compliance dashboard surfacing statutory-deadline risk across the entire book — every case approaching its Section 29A arbitration limit, 120-day mediation cap, or 90-day POSH inquiry — with escalation before breach.</w:t>
      </w:r>
    </w:p>
    <w:p>
      <w:pPr>
        <w:pStyle w:val="ListParagraph"/>
        <w:numPr>
          <w:ilvl w:val="0"/>
          <w:numId w:val="2"/>
        </w:numPr>
        <w:spacing w:after="60" w:line="270"/>
      </w:pPr>
      <w:r>
        <w:rPr>
          <w:b/>
          <w:bCs/>
        </w:rPr>
        <w:t xml:space="preserve">Build: </w:t>
      </w:r>
      <w:r>
        <w:t xml:space="preserve">a compliance_clock projection (per case: clock type, due date, days remaining, risk band) feeding dashboards and proactive alerts to case managers and neutrals.</w:t>
      </w:r>
    </w:p>
    <w:p>
      <w:pPr>
        <w:pStyle w:val="ListParagraph"/>
        <w:numPr>
          <w:ilvl w:val="0"/>
          <w:numId w:val="2"/>
        </w:numPr>
        <w:spacing w:after="60" w:line="270"/>
      </w:pPr>
      <w:r>
        <w:rPr>
          <w:b/>
          <w:bCs/>
        </w:rPr>
        <w:t xml:space="preserve">Dual value: </w:t>
      </w:r>
      <w:r>
        <w:t xml:space="preserve">an internal ops tool and a selling point — “we will not let your matter breach a statutory clock.”</w:t>
      </w:r>
    </w:p>
    <w:p>
      <w:pPr>
        <w:spacing w:after="80"/>
      </w:pPr>
      <w:r>
        <w:t xml:space="preserve"/>
      </w:r>
    </w:p>
    <w:p>
      <w:pPr>
        <w:pStyle w:val="Heading2"/>
      </w:pPr>
      <w:r>
        <w:t xml:space="preserve">19.10 Cross-border &amp; Singapore Convention readiness</w:t>
      </w:r>
    </w:p>
    <w:p>
      <w:pPr>
        <w:spacing w:after="140" w:line="276"/>
      </w:pPr>
      <w:r>
        <w:t xml:space="preserve">Rulesets already abstract jurisdiction (§2.4). The inexpensive addition now is to carry the metadata that cross-border enforceability later requires, so no data backfill is needed at expansion.</w:t>
      </w:r>
    </w:p>
    <w:p>
      <w:pPr>
        <w:pStyle w:val="ListParagraph"/>
        <w:numPr>
          <w:ilvl w:val="0"/>
          <w:numId w:val="2"/>
        </w:numPr>
        <w:spacing w:after="60" w:line="270"/>
      </w:pPr>
      <w:r>
        <w:rPr>
          <w:b/>
          <w:bCs/>
        </w:rPr>
        <w:t xml:space="preserve">Build: </w:t>
      </w:r>
      <w:r>
        <w:t xml:space="preserve">cross_border_meta on cases — seat, governing law, language, enforcement regime, and a Singapore-Convention-eligibility flag for mediated settlements.</w:t>
      </w:r>
    </w:p>
    <w:p>
      <w:pPr>
        <w:pStyle w:val="ListParagraph"/>
        <w:numPr>
          <w:ilvl w:val="0"/>
          <w:numId w:val="2"/>
        </w:numPr>
        <w:spacing w:after="60" w:line="270"/>
      </w:pPr>
      <w:r>
        <w:rPr>
          <w:b/>
          <w:bCs/>
        </w:rPr>
        <w:t xml:space="preserve">Upside: </w:t>
      </w:r>
      <w:r>
        <w:t xml:space="preserve">Convention-eligible mediated settlements are a premium, defensible product; capturing the fields from day one makes that product a configuration away.</w:t>
      </w:r>
    </w:p>
    <w:p>
      <w:pPr>
        <w:spacing w:after="80"/>
      </w:pPr>
      <w:r>
        <w:t xml:space="preserve"/>
      </w:r>
    </w:p>
    <w:p>
      <w:pPr>
        <w:pStyle w:val="Heading2"/>
      </w:pPr>
      <w:r>
        <w:t xml:space="preserve">19.11 Interoperability adapters</w:t>
      </w:r>
    </w:p>
    <w:p>
      <w:pPr>
        <w:spacing w:after="140" w:line="276"/>
      </w:pPr>
      <w:r>
        <w:t xml:space="preserve">Indian dispute infrastructure is trending toward interoperability (e-Daakhil, RBI CMS, SEBI SMART ODR, court CMS). Equator should decide deliberately to be a connected node rather than a closed island.</w:t>
      </w:r>
    </w:p>
    <w:p>
      <w:pPr>
        <w:pStyle w:val="ListParagraph"/>
        <w:numPr>
          <w:ilvl w:val="0"/>
          <w:numId w:val="2"/>
        </w:numPr>
        <w:spacing w:after="60" w:line="270"/>
      </w:pPr>
      <w:r>
        <w:rPr>
          <w:b/>
          <w:bCs/>
        </w:rPr>
        <w:t xml:space="preserve">Build: </w:t>
      </w:r>
      <w:r>
        <w:t xml:space="preserve">an adapter interface for inbound/outbound case interchange and an interop_messages log; stub the adapters initially so the platform is integration-ready when a regulator or court asks.</w:t>
      </w:r>
    </w:p>
    <w:p>
      <w:pPr>
        <w:pStyle w:val="ListParagraph"/>
        <w:numPr>
          <w:ilvl w:val="0"/>
          <w:numId w:val="2"/>
        </w:numPr>
        <w:spacing w:after="60" w:line="270"/>
      </w:pPr>
      <w:r>
        <w:rPr>
          <w:b/>
          <w:bCs/>
        </w:rPr>
        <w:t xml:space="preserve">Wedge: </w:t>
      </w:r>
      <w:r>
        <w:t xml:space="preserve">integration-readiness is itself a competitive advantage with public-sector and regulated counterparties.</w:t>
      </w:r>
    </w:p>
    <w:p>
      <w:pPr>
        <w:spacing w:after="80"/>
      </w:pPr>
      <w:r>
        <w:t xml:space="preserve"/>
      </w:r>
    </w:p>
    <w:p>
      <w:pPr>
        <w:pStyle w:val="Heading2"/>
      </w:pPr>
      <w:r>
        <w:t xml:space="preserve">19.12 Fairness &amp; Quality telemetry</w:t>
      </w:r>
    </w:p>
    <w:p>
      <w:pPr>
        <w:spacing w:after="140" w:line="276"/>
      </w:pPr>
      <w:r>
        <w:t xml:space="preserve">Beyond throughput, instrument outcome-quality signals to protect the institution's reputation and to feed the Academy with real coaching data.</w:t>
      </w:r>
    </w:p>
    <w:p>
      <w:pPr>
        <w:pStyle w:val="ListParagraph"/>
        <w:numPr>
          <w:ilvl w:val="0"/>
          <w:numId w:val="2"/>
        </w:numPr>
        <w:spacing w:after="60" w:line="270"/>
      </w:pPr>
      <w:r>
        <w:rPr>
          <w:b/>
          <w:bCs/>
        </w:rPr>
        <w:t xml:space="preserve">Build: </w:t>
      </w:r>
      <w:r>
        <w:t xml:space="preserve">quality_metrics and neutral_scorecards capturing time-to-resolution by pillar and neutral, settlement rates, set-aside / challenge rates, party satisfaction, and any disparity patterns across neutrals.</w:t>
      </w:r>
    </w:p>
    <w:p>
      <w:pPr>
        <w:pStyle w:val="ListParagraph"/>
        <w:numPr>
          <w:ilvl w:val="0"/>
          <w:numId w:val="2"/>
        </w:numPr>
        <w:spacing w:after="60" w:line="270"/>
      </w:pPr>
      <w:r>
        <w:rPr>
          <w:b/>
          <w:bCs/>
        </w:rPr>
        <w:t xml:space="preserve">Value: </w:t>
      </w:r>
      <w:r>
        <w:t xml:space="preserve">spot a problem neutral before a regulator does; turn quality into a credibility asset with regulators and enterprise buyers; close the loop into Academy coaching.</w:t>
      </w:r>
    </w:p>
    <w:p>
      <w:pPr>
        <w:spacing w:after="80"/>
      </w:pPr>
      <w:r>
        <w:t xml:space="preserve"/>
      </w:r>
    </w:p>
    <w:p>
      <w:pPr>
        <w:pStyle w:val="Heading2"/>
      </w:pPr>
      <w:r>
        <w:t xml:space="preserve">19.13 New tables added to the Forms &amp; Database Specification</w:t>
      </w:r>
    </w:p>
    <w:p>
      <w:pPr>
        <w:spacing w:after="140" w:line="276"/>
      </w:pPr>
      <w:r>
        <w:t xml:space="preserve">The enhancements above introduce the following tables, specified at field level on a new tab (“4b. Enhancement Tables”) in the companion .xlsx, with relationships and enumerations updated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7"/>
                <w:szCs w:val="17"/>
              </w:rPr>
              <w:t xml:space="preserve">Enhancement</w:t>
            </w:r>
          </w:p>
        </w:tc>
        <w:tc>
          <w:tcPr>
            <w:tcW w:type="dxa" w:w="596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7"/>
                <w:szCs w:val="17"/>
              </w:rPr>
              <w:t xml:space="preserve">New tables</w:t>
            </w:r>
          </w:p>
        </w:tc>
      </w:tr>
      <w:tr>
        <w:tc>
          <w:tcPr>
            <w:tcW w:type="dxa" w:w="34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19.1 Escalation Contract</w:t>
            </w:r>
          </w:p>
        </w:tc>
        <w:tc>
          <w:tcPr>
            <w:tcW w:type="dxa" w:w="59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escalation_contracts</w:t>
            </w:r>
          </w:p>
        </w:tc>
      </w:tr>
      <w:tr>
        <w:tc>
          <w:tcPr>
            <w:tcW w:type="dxa" w:w="34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19.2 Conflicts Engine</w:t>
            </w:r>
          </w:p>
        </w:tc>
        <w:tc>
          <w:tcPr>
            <w:tcW w:type="dxa" w:w="59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conflict_graph_nodes, conflict_edges, conflict_checks</w:t>
            </w:r>
          </w:p>
        </w:tc>
      </w:tr>
      <w:tr>
        <w:tc>
          <w:tcPr>
            <w:tcW w:type="dxa" w:w="34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19.3 AI Governance</w:t>
            </w:r>
          </w:p>
        </w:tc>
        <w:tc>
          <w:tcPr>
            <w:tcW w:type="dxa" w:w="59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ai_outputs, model_registry, ai_tier_policy</w:t>
            </w:r>
          </w:p>
        </w:tc>
      </w:tr>
      <w:tr>
        <w:tc>
          <w:tcPr>
            <w:tcW w:type="dxa" w:w="34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19.4 Service-of-Process</w:t>
            </w:r>
          </w:p>
        </w:tc>
        <w:tc>
          <w:tcPr>
            <w:tcW w:type="dxa" w:w="59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service_attempts, service_certificates</w:t>
            </w:r>
          </w:p>
        </w:tc>
      </w:tr>
      <w:tr>
        <w:tc>
          <w:tcPr>
            <w:tcW w:type="dxa" w:w="34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19.5 Ruleset Versioning</w:t>
            </w:r>
          </w:p>
        </w:tc>
        <w:tc>
          <w:tcPr>
            <w:tcW w:type="dxa" w:w="59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ruleset_versions (+ cases.ruleset_version_id)</w:t>
            </w:r>
          </w:p>
        </w:tc>
      </w:tr>
      <w:tr>
        <w:tc>
          <w:tcPr>
            <w:tcW w:type="dxa" w:w="34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19.6 Evidence Integrity</w:t>
            </w:r>
          </w:p>
        </w:tc>
        <w:tc>
          <w:tcPr>
            <w:tcW w:type="dxa" w:w="59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evidence_items, custody_log</w:t>
            </w:r>
          </w:p>
        </w:tc>
      </w:tr>
      <w:tr>
        <w:tc>
          <w:tcPr>
            <w:tcW w:type="dxa" w:w="34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19.7 Multi-party / Consolidation</w:t>
            </w:r>
          </w:p>
        </w:tc>
        <w:tc>
          <w:tcPr>
            <w:tcW w:type="dxa" w:w="59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case_groups, case_relationships</w:t>
            </w:r>
          </w:p>
        </w:tc>
      </w:tr>
      <w:tr>
        <w:tc>
          <w:tcPr>
            <w:tcW w:type="dxa" w:w="34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19.8 Settlement &amp; Escrow</w:t>
            </w:r>
          </w:p>
        </w:tc>
        <w:tc>
          <w:tcPr>
            <w:tcW w:type="dxa" w:w="59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settlement_payments, escrow_ledger</w:t>
            </w:r>
          </w:p>
        </w:tc>
      </w:tr>
      <w:tr>
        <w:tc>
          <w:tcPr>
            <w:tcW w:type="dxa" w:w="34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19.9 Legal-Clock Observability</w:t>
            </w:r>
          </w:p>
        </w:tc>
        <w:tc>
          <w:tcPr>
            <w:tcW w:type="dxa" w:w="59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compliance_clock (materialised view)</w:t>
            </w:r>
          </w:p>
        </w:tc>
      </w:tr>
      <w:tr>
        <w:tc>
          <w:tcPr>
            <w:tcW w:type="dxa" w:w="34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19.10 Cross-border</w:t>
            </w:r>
          </w:p>
        </w:tc>
        <w:tc>
          <w:tcPr>
            <w:tcW w:type="dxa" w:w="59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cross_border_meta</w:t>
            </w:r>
          </w:p>
        </w:tc>
      </w:tr>
      <w:tr>
        <w:tc>
          <w:tcPr>
            <w:tcW w:type="dxa" w:w="34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19.11 Interoperability</w:t>
            </w:r>
          </w:p>
        </w:tc>
        <w:tc>
          <w:tcPr>
            <w:tcW w:type="dxa" w:w="59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interop_messages</w:t>
            </w:r>
          </w:p>
        </w:tc>
      </w:tr>
      <w:tr>
        <w:tc>
          <w:tcPr>
            <w:tcW w:type="dxa" w:w="34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19.12 Fairness &amp; Quality</w:t>
            </w:r>
          </w:p>
        </w:tc>
        <w:tc>
          <w:tcPr>
            <w:tcW w:type="dxa" w:w="59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quality_metrics, neutral_scorecards</w:t>
            </w:r>
          </w:p>
        </w:tc>
      </w:tr>
    </w:tbl>
    <w:p>
      <w:pPr>
        <w:spacing w:after="80"/>
      </w:pPr>
      <w:r>
        <w:t xml:space="preserve"/>
      </w:r>
    </w:p>
    <w:p>
      <w:pPr>
        <w:spacing w:after="140" w:line="276"/>
      </w:pPr>
      <w:r>
        <w:rPr>
          <w:i/>
          <w:iCs/>
          <w:color w:val="6B7280"/>
        </w:rPr>
        <w:t xml:space="preserve">End of Section 19. With these enhancements the architecture moves from a complete v1.0 platform to a defensible, enforceability-hardened, expansion-ready v1.1.</w:t>
      </w:r>
    </w:p>
    <w:p>
      <w:r>
        <w:br w:type="page"/>
      </w:r>
    </w:p>
    <w:p>
      <w:pPr>
        <w:pStyle w:val="Heading1"/>
      </w:pPr>
      <w:r>
        <w:t xml:space="preserve">20. Architecture Enhancements (v1.2)</w:t>
      </w:r>
    </w:p>
    <w:p>
      <w:pPr>
        <w:spacing w:after="140" w:line="276"/>
      </w:pPr>
      <w:r>
        <w:t xml:space="preserve">Where the v1.1 set (Section 19) hardened the platform for enforceability and compliance, the v1.2 set hardens it for production reality and operational scale — the gap between ‘well-designed on paper’ and ‘will not break or be gamed at 2am’. These twelve additions address distributed-systems correctness, change safety, the realities of access to justice in India, and the operational surfaces (case room, reporting, neutral supply) that the institution actually runs on. As before, each has corresponding tables in the Forms &amp; Database Specification (new tables listed in §20.13), and each carries the concept, why it matters, and the concrete build implication.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2F8" w:sz="1"/>
              <w:left w:val="single" w:color="0E7C7B" w:sz="24"/>
              <w:bottom w:val="single" w:color="EAF2F8" w:sz="1"/>
              <w:right w:val="single" w:color="EAF2F8" w:sz="1"/>
            </w:tcBorders>
            <w:shd w:fill="EAF2F8" w:val="clear"/>
            <w:tcMar>
              <w:top w:type="dxa" w:w="120"/>
              <w:left w:type="dxa" w:w="160"/>
              <w:bottom w:type="dxa" w:w="120"/>
              <w:right w:type="dxa" w:w="160"/>
            </w:tcMar>
          </w:tcPr>
          <w:p>
            <w:pPr>
              <w:spacing w:after="60"/>
            </w:pPr>
            <w:r>
              <w:rPr>
                <w:b/>
                <w:bCs/>
                <w:color w:val="0B2A4A"/>
                <w:sz w:val="20"/>
                <w:szCs w:val="20"/>
              </w:rPr>
              <w:t xml:space="preserve">How v1.2 relates to v1.1</w:t>
            </w:r>
          </w:p>
          <w:p>
            <w:pPr>
              <w:spacing w:after="0"/>
            </w:pPr>
            <w:r>
              <w:rPr>
                <w:color w:val="1F2937"/>
                <w:sz w:val="19"/>
                <w:szCs w:val="19"/>
              </w:rPr>
              <w:t xml:space="preserve">v1.1 answered ‘is the outcome valid and compliant?’. v1.2 answers ‘does the system stay correct, safe to change, usable by real people, and operable as an institution at scale?’. The two foundational items here are the transactional outbox/saga layer (20.4) and configuration safety (20.5) — they prevent the two failure modes most likely to corrupt a live case or take the platform down. Schedule them alongside the Phase-1/2 MVP, not after.</w:t>
            </w:r>
          </w:p>
        </w:tc>
      </w:tr>
    </w:tbl>
    <w:p>
      <w:pPr>
        <w:spacing w:after="80"/>
      </w:pPr>
      <w:r>
        <w:t xml:space="preserve"/>
      </w:r>
    </w:p>
    <w:p>
      <w:pPr>
        <w:pStyle w:val="Heading2"/>
      </w:pPr>
      <w:r>
        <w:t xml:space="preserve">20.0 Summary of the twelve v1.2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4650"/>
        <w:gridCol w:w="1500"/>
        <w:gridCol w:w="2760"/>
      </w:tblGrid>
      <w:tr>
        <w:trPr>
          <w:tblHeader/>
        </w:trPr>
        <w:tc>
          <w:tcPr>
            <w:tcW w:type="dxa" w:w="45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7"/>
                <w:szCs w:val="17"/>
              </w:rPr>
              <w:t xml:space="preserve">#</w:t>
            </w:r>
          </w:p>
        </w:tc>
        <w:tc>
          <w:tcPr>
            <w:tcW w:type="dxa" w:w="465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7"/>
                <w:szCs w:val="17"/>
              </w:rPr>
              <w:t xml:space="preserve">Enhancement</w:t>
            </w:r>
          </w:p>
        </w:tc>
        <w:tc>
          <w:tcPr>
            <w:tcW w:type="dxa" w:w="15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7"/>
                <w:szCs w:val="17"/>
              </w:rPr>
              <w:t xml:space="preserve">Tier</w:t>
            </w:r>
          </w:p>
        </w:tc>
        <w:tc>
          <w:tcPr>
            <w:tcW w:type="dxa" w:w="276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7"/>
                <w:szCs w:val="17"/>
              </w:rPr>
              <w:t xml:space="preserve">Primary build artefact</w:t>
            </w:r>
          </w:p>
        </w:tc>
      </w:tr>
      <w:tr>
        <w:tc>
          <w:tcPr>
            <w:tcW w:type="dxa" w:w="4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1</w:t>
            </w:r>
          </w:p>
        </w:tc>
        <w:tc>
          <w:tcPr>
            <w:tcW w:type="dxa" w:w="46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Communication, channel-reachability &amp; consent engine</w:t>
            </w:r>
          </w:p>
        </w:tc>
        <w:tc>
          <w:tcPr>
            <w:tcW w:type="dxa" w:w="1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High value</w:t>
            </w:r>
          </w:p>
        </w:tc>
        <w:tc>
          <w:tcPr>
            <w:tcW w:type="dxa" w:w="27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party_channels, channel_consents, reachability_log</w:t>
            </w:r>
          </w:p>
        </w:tc>
      </w:tr>
      <w:tr>
        <w:tc>
          <w:tcPr>
            <w:tcW w:type="dxa" w:w="4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2</w:t>
            </w:r>
          </w:p>
        </w:tc>
        <w:tc>
          <w:tcPr>
            <w:tcW w:type="dxa" w:w="46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Matter layer (aggregate above Case)</w:t>
            </w:r>
          </w:p>
        </w:tc>
        <w:tc>
          <w:tcPr>
            <w:tcW w:type="dxa" w:w="1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Foundational</w:t>
            </w:r>
          </w:p>
        </w:tc>
        <w:tc>
          <w:tcPr>
            <w:tcW w:type="dxa" w:w="27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matters (+ cases.matter_id)</w:t>
            </w:r>
          </w:p>
        </w:tc>
      </w:tr>
      <w:tr>
        <w:tc>
          <w:tcPr>
            <w:tcW w:type="dxa" w:w="4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3</w:t>
            </w:r>
          </w:p>
        </w:tc>
        <w:tc>
          <w:tcPr>
            <w:tcW w:type="dxa" w:w="46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Neutral lifecycle &amp; quality subsystem</w:t>
            </w:r>
          </w:p>
        </w:tc>
        <w:tc>
          <w:tcPr>
            <w:tcW w:type="dxa" w:w="1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High value</w:t>
            </w:r>
          </w:p>
        </w:tc>
        <w:tc>
          <w:tcPr>
            <w:tcW w:type="dxa" w:w="27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neutral_lifecycle, neutral_availability, recusals, cpd_records</w:t>
            </w:r>
          </w:p>
        </w:tc>
      </w:tr>
      <w:tr>
        <w:tc>
          <w:tcPr>
            <w:tcW w:type="dxa" w:w="4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4</w:t>
            </w:r>
          </w:p>
        </w:tc>
        <w:tc>
          <w:tcPr>
            <w:tcW w:type="dxa" w:w="46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Transactional outbox &amp; saga orchestration</w:t>
            </w:r>
          </w:p>
        </w:tc>
        <w:tc>
          <w:tcPr>
            <w:tcW w:type="dxa" w:w="1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Foundational</w:t>
            </w:r>
          </w:p>
        </w:tc>
        <w:tc>
          <w:tcPr>
            <w:tcW w:type="dxa" w:w="27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outbox_events, sagas, saga_steps</w:t>
            </w:r>
          </w:p>
        </w:tc>
      </w:tr>
      <w:tr>
        <w:tc>
          <w:tcPr>
            <w:tcW w:type="dxa" w:w="4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5</w:t>
            </w:r>
          </w:p>
        </w:tc>
        <w:tc>
          <w:tcPr>
            <w:tcW w:type="dxa" w:w="46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Config validation, simulation &amp; staged rollout</w:t>
            </w:r>
          </w:p>
        </w:tc>
        <w:tc>
          <w:tcPr>
            <w:tcW w:type="dxa" w:w="1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Foundational</w:t>
            </w:r>
          </w:p>
        </w:tc>
        <w:tc>
          <w:tcPr>
            <w:tcW w:type="dxa" w:w="27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config_validations, config_simulations, rollout_stages</w:t>
            </w:r>
          </w:p>
        </w:tc>
      </w:tr>
      <w:tr>
        <w:tc>
          <w:tcPr>
            <w:tcW w:type="dxa" w:w="4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6</w:t>
            </w:r>
          </w:p>
        </w:tc>
        <w:tc>
          <w:tcPr>
            <w:tcW w:type="dxa" w:w="46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Vernacular &amp; accessibility architecture</w:t>
            </w:r>
          </w:p>
        </w:tc>
        <w:tc>
          <w:tcPr>
            <w:tcW w:type="dxa" w:w="1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High value</w:t>
            </w:r>
          </w:p>
        </w:tc>
        <w:tc>
          <w:tcPr>
            <w:tcW w:type="dxa" w:w="27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localizations, assisted_filings, accessibility_prefs</w:t>
            </w:r>
          </w:p>
        </w:tc>
      </w:tr>
      <w:tr>
        <w:tc>
          <w:tcPr>
            <w:tcW w:type="dxa" w:w="4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7</w:t>
            </w:r>
          </w:p>
        </w:tc>
        <w:tc>
          <w:tcPr>
            <w:tcW w:type="dxa" w:w="46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Case-room real-time collaboration &amp; presence</w:t>
            </w:r>
          </w:p>
        </w:tc>
        <w:tc>
          <w:tcPr>
            <w:tcW w:type="dxa" w:w="1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High value</w:t>
            </w:r>
          </w:p>
        </w:tc>
        <w:tc>
          <w:tcPr>
            <w:tcW w:type="dxa" w:w="27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room_sessions, room_presence, room_artifacts</w:t>
            </w:r>
          </w:p>
        </w:tc>
      </w:tr>
      <w:tr>
        <w:tc>
          <w:tcPr>
            <w:tcW w:type="dxa" w:w="4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8</w:t>
            </w:r>
          </w:p>
        </w:tc>
        <w:tc>
          <w:tcPr>
            <w:tcW w:type="dxa" w:w="46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Reporting &amp; regulatory-returns layer</w:t>
            </w:r>
          </w:p>
        </w:tc>
        <w:tc>
          <w:tcPr>
            <w:tcW w:type="dxa" w:w="1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High value</w:t>
            </w:r>
          </w:p>
        </w:tc>
        <w:tc>
          <w:tcPr>
            <w:tcW w:type="dxa" w:w="27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report_templates, report_runs, regulatory_returns</w:t>
            </w:r>
          </w:p>
        </w:tc>
      </w:tr>
      <w:tr>
        <w:tc>
          <w:tcPr>
            <w:tcW w:type="dxa" w:w="4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9</w:t>
            </w:r>
          </w:p>
        </w:tc>
        <w:tc>
          <w:tcPr>
            <w:tcW w:type="dxa" w:w="46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AI retrieval grounding &amp; evaluation</w:t>
            </w:r>
          </w:p>
        </w:tc>
        <w:tc>
          <w:tcPr>
            <w:tcW w:type="dxa" w:w="1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Refinement</w:t>
            </w:r>
          </w:p>
        </w:tc>
        <w:tc>
          <w:tcPr>
            <w:tcW w:type="dxa" w:w="27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knowledge_sources, retrievals, ai_evaluations</w:t>
            </w:r>
          </w:p>
        </w:tc>
      </w:tr>
      <w:tr>
        <w:tc>
          <w:tcPr>
            <w:tcW w:type="dxa" w:w="4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10</w:t>
            </w:r>
          </w:p>
        </w:tc>
        <w:tc>
          <w:tcPr>
            <w:tcW w:type="dxa" w:w="46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Environments &amp; tenant provisioning/offboarding</w:t>
            </w:r>
          </w:p>
        </w:tc>
        <w:tc>
          <w:tcPr>
            <w:tcW w:type="dxa" w:w="1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Refinement</w:t>
            </w:r>
          </w:p>
        </w:tc>
        <w:tc>
          <w:tcPr>
            <w:tcW w:type="dxa" w:w="27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tenant_provisioning, data_exports, environments</w:t>
            </w:r>
          </w:p>
        </w:tc>
      </w:tr>
      <w:tr>
        <w:tc>
          <w:tcPr>
            <w:tcW w:type="dxa" w:w="4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11</w:t>
            </w:r>
          </w:p>
        </w:tc>
        <w:tc>
          <w:tcPr>
            <w:tcW w:type="dxa" w:w="46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Per-tenant API quota &amp; abuse prevention</w:t>
            </w:r>
          </w:p>
        </w:tc>
        <w:tc>
          <w:tcPr>
            <w:tcW w:type="dxa" w:w="1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Refinement</w:t>
            </w:r>
          </w:p>
        </w:tc>
        <w:tc>
          <w:tcPr>
            <w:tcW w:type="dxa" w:w="27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api_quotas, api_usage, abuse_signals</w:t>
            </w:r>
          </w:p>
        </w:tc>
      </w:tr>
      <w:tr>
        <w:tc>
          <w:tcPr>
            <w:tcW w:type="dxa" w:w="4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12</w:t>
            </w:r>
          </w:p>
        </w:tc>
        <w:tc>
          <w:tcPr>
            <w:tcW w:type="dxa" w:w="46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Feature flags &amp; progressive delivery</w:t>
            </w:r>
          </w:p>
        </w:tc>
        <w:tc>
          <w:tcPr>
            <w:tcW w:type="dxa" w:w="1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Refinement</w:t>
            </w:r>
          </w:p>
        </w:tc>
        <w:tc>
          <w:tcPr>
            <w:tcW w:type="dxa" w:w="27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feature_flags, flag_assignments</w:t>
            </w:r>
          </w:p>
        </w:tc>
      </w:tr>
    </w:tbl>
    <w:p>
      <w:r>
        <w:br w:type="page"/>
      </w:r>
    </w:p>
    <w:p>
      <w:pPr>
        <w:pStyle w:val="Heading2"/>
      </w:pPr>
      <w:r>
        <w:t xml:space="preserve">20.1 Communication, channel-reachability &amp; consent engine</w:t>
      </w:r>
    </w:p>
    <w:p>
      <w:pPr>
        <w:spacing w:after="140" w:line="276"/>
      </w:pPr>
      <w:r>
        <w:t xml:space="preserve">Notifications (§6.1) are a delivery mechanism; what actually decides whether a notice lands — and whether an award later survives a service challenge — is reachability. Borrowers change numbers, parties revoke WhatsApp consent, email addresses bounce. The platform therefore models each party's reachable channels as first-class state, not as an attribute buried on the user record.</w:t>
      </w:r>
    </w:p>
    <w:p>
      <w:pPr>
        <w:pStyle w:val="ListParagraph"/>
        <w:numPr>
          <w:ilvl w:val="0"/>
          <w:numId w:val="2"/>
        </w:numPr>
        <w:spacing w:after="60" w:line="270"/>
      </w:pPr>
      <w:r>
        <w:rPr>
          <w:b/>
          <w:bCs/>
        </w:rPr>
        <w:t xml:space="preserve">Build: </w:t>
      </w:r>
      <w:r>
        <w:t xml:space="preserve">party_channels (each verified channel: email/SMS/WhatsApp/post, status, last-verified), channel_consents (consent + revocation per channel, DPDP-aligned), and a reachability_log capturing the last successful contact per channel.</w:t>
      </w:r>
    </w:p>
    <w:p>
      <w:pPr>
        <w:pStyle w:val="ListParagraph"/>
        <w:numPr>
          <w:ilvl w:val="0"/>
          <w:numId w:val="2"/>
        </w:numPr>
        <w:spacing w:after="60" w:line="270"/>
      </w:pPr>
      <w:r>
        <w:rPr>
          <w:b/>
          <w:bCs/>
        </w:rPr>
        <w:t xml:space="preserve">Feeds: </w:t>
      </w:r>
      <w:r>
        <w:t xml:space="preserve">the service-of-process engine (§19.4) and every notice — a notice is only ‘served’ on a channel that is consented and currently reachable; bounces and opt-outs automatically re-route to an alternate channel or trigger fallback (e.g., registered post).</w:t>
      </w:r>
    </w:p>
    <w:p>
      <w:pPr>
        <w:pStyle w:val="ListParagraph"/>
        <w:numPr>
          <w:ilvl w:val="0"/>
          <w:numId w:val="2"/>
        </w:numPr>
        <w:spacing w:after="60" w:line="270"/>
      </w:pPr>
      <w:r>
        <w:rPr>
          <w:b/>
          <w:bCs/>
        </w:rPr>
        <w:t xml:space="preserve">Why it matters: </w:t>
      </w:r>
      <w:r>
        <w:t xml:space="preserve">a small addition with outsized impact on enforceability and on NBFC recovery, where unreachable borrowers are the most common operational failure.</w:t>
      </w:r>
    </w:p>
    <w:p>
      <w:pPr>
        <w:spacing w:after="80"/>
      </w:pPr>
      <w:r>
        <w:t xml:space="preserve"/>
      </w:r>
    </w:p>
    <w:p>
      <w:pPr>
        <w:pStyle w:val="Heading2"/>
      </w:pPr>
      <w:r>
        <w:t xml:space="preserve">20.2 Matter layer — an aggregate above Case</w:t>
      </w:r>
    </w:p>
    <w:p>
      <w:pPr>
        <w:spacing w:after="140" w:line="276"/>
      </w:pPr>
      <w:r>
        <w:t xml:space="preserve">The v1.0/v1.1 model is case-centric, and v1.1 added case_groups/relationships. Real disputes, though, are bundles: one marital breakdown spawns divorce, maintenance, a DV strand and custody — possibly across different forums; one borrower has five loans. v1.2 promotes a true Matter aggregate that owns the parties, the relationship history, the consolidated timeline, and the conflict-of-interest picture across all of its cases.</w:t>
      </w:r>
    </w:p>
    <w:p>
      <w:pPr>
        <w:pStyle w:val="ListParagraph"/>
        <w:numPr>
          <w:ilvl w:val="0"/>
          <w:numId w:val="2"/>
        </w:numPr>
        <w:spacing w:after="60" w:line="270"/>
      </w:pPr>
      <w:r>
        <w:rPr>
          <w:b/>
          <w:bCs/>
        </w:rPr>
        <w:t xml:space="preserve">Build: </w:t>
      </w:r>
      <w:r>
        <w:t xml:space="preserve">a matters table; cases gains matter_id. The Matter owns the unified party view, the cross-strand clock dashboard, and the consolidated conflicts check (a neutral conflicted on any case in the Matter is conflicted on the Matter).</w:t>
      </w:r>
    </w:p>
    <w:p>
      <w:pPr>
        <w:pStyle w:val="ListParagraph"/>
        <w:numPr>
          <w:ilvl w:val="0"/>
          <w:numId w:val="2"/>
        </w:numPr>
        <w:spacing w:after="60" w:line="270"/>
      </w:pPr>
      <w:r>
        <w:rPr>
          <w:b/>
          <w:bCs/>
        </w:rPr>
        <w:t xml:space="preserve">Makes first-class: </w:t>
      </w:r>
      <w:r>
        <w:t xml:space="preserve">the borrower-with-five-loans and the spouse-with-four-strands scenarios — modelled natively rather than retrofitted through relationships.</w:t>
      </w:r>
    </w:p>
    <w:p>
      <w:pPr>
        <w:pStyle w:val="ListParagraph"/>
        <w:numPr>
          <w:ilvl w:val="0"/>
          <w:numId w:val="2"/>
        </w:numPr>
        <w:spacing w:after="60" w:line="270"/>
      </w:pPr>
      <w:r>
        <w:rPr>
          <w:b/>
          <w:bCs/>
        </w:rPr>
        <w:t xml:space="preserve">Compatibility: </w:t>
      </w:r>
      <w:r>
        <w:t xml:space="preserve">case_groups/case_relationships (19.7) remain for ad-hoc links; the Matter is the durable home for a genuinely shared dispute.</w:t>
      </w:r>
    </w:p>
    <w:p>
      <w:pPr>
        <w:spacing w:after="80"/>
      </w:pPr>
      <w:r>
        <w:t xml:space="preserve"/>
      </w:r>
    </w:p>
    <w:p>
      <w:pPr>
        <w:pStyle w:val="Heading2"/>
      </w:pPr>
      <w:r>
        <w:t xml:space="preserve">20.3 Neutral lifecycle &amp; quality subsystem</w:t>
      </w:r>
    </w:p>
    <w:p>
      <w:pPr>
        <w:spacing w:after="140" w:line="276"/>
      </w:pPr>
      <w:r>
        <w:t xml:space="preserve">Empanelment (Section 13/Forms) and scorecards (19.12) are the endpoints; v1.2 fills the middle. A serious institution manages neutrals across a full lifecycle, and that supply-side engine is what the whole marketplace depends on. It is also a regulatory expectation (panels must be managed, conflicts handled, standards maintained).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7"/>
                <w:szCs w:val="17"/>
              </w:rPr>
              <w:t xml:space="preserve">Lifecycle stage</w:t>
            </w:r>
          </w:p>
        </w:tc>
        <w:tc>
          <w:tcPr>
            <w:tcW w:type="dxa" w:w="666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7"/>
                <w:szCs w:val="17"/>
              </w:rPr>
              <w:t xml:space="preserve">What the subsystem manages</w:t>
            </w:r>
          </w:p>
        </w:tc>
      </w:tr>
      <w:tr>
        <w:tc>
          <w:tcPr>
            <w:tcW w:type="dxa" w:w="2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Application &amp; vetting</w:t>
            </w:r>
          </w:p>
        </w:tc>
        <w:tc>
          <w:tcPr>
            <w:tcW w:type="dxa" w:w="66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Intake, credential verification, references, background checks.</w:t>
            </w:r>
          </w:p>
        </w:tc>
      </w:tr>
      <w:tr>
        <w:tc>
          <w:tcPr>
            <w:tcW w:type="dxa" w:w="2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Accreditation &amp; empanelment</w:t>
            </w:r>
          </w:p>
        </w:tc>
        <w:tc>
          <w:tcPr>
            <w:tcW w:type="dxa" w:w="66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Approval, panel placement, specialisation tags, terms.</w:t>
            </w:r>
          </w:p>
        </w:tc>
      </w:tr>
      <w:tr>
        <w:tc>
          <w:tcPr>
            <w:tcW w:type="dxa" w:w="2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Active panel management</w:t>
            </w:r>
          </w:p>
        </w:tc>
        <w:tc>
          <w:tcPr>
            <w:tcW w:type="dxa" w:w="66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Availability, load balancing, round-robin position, leave/blackout.</w:t>
            </w:r>
          </w:p>
        </w:tc>
      </w:tr>
      <w:tr>
        <w:tc>
          <w:tcPr>
            <w:tcW w:type="dxa" w:w="2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Recusal &amp; conflict handling</w:t>
            </w:r>
          </w:p>
        </w:tc>
        <w:tc>
          <w:tcPr>
            <w:tcW w:type="dxa" w:w="66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Declared conflicts, recusals on specific matters, replacement.</w:t>
            </w:r>
          </w:p>
        </w:tc>
      </w:tr>
      <w:tr>
        <w:tc>
          <w:tcPr>
            <w:tcW w:type="dxa" w:w="2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Performance &amp; discipline</w:t>
            </w:r>
          </w:p>
        </w:tc>
        <w:tc>
          <w:tcPr>
            <w:tcW w:type="dxa" w:w="66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Set-aside/challenge rate, party complaints, quality reviews.</w:t>
            </w:r>
          </w:p>
        </w:tc>
      </w:tr>
      <w:tr>
        <w:tc>
          <w:tcPr>
            <w:tcW w:type="dxa" w:w="2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CPD &amp; compliance</w:t>
            </w:r>
          </w:p>
        </w:tc>
        <w:tc>
          <w:tcPr>
            <w:tcW w:type="dxa" w:w="66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Continuing-development records, accreditation renewal.</w:t>
            </w:r>
          </w:p>
        </w:tc>
      </w:tr>
      <w:tr>
        <w:tc>
          <w:tcPr>
            <w:tcW w:type="dxa" w:w="2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Renewal / de-empanelment</w:t>
            </w:r>
          </w:p>
        </w:tc>
        <w:tc>
          <w:tcPr>
            <w:tcW w:type="dxa" w:w="66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Re-empanelment, suspension, removal with audit.</w:t>
            </w:r>
          </w:p>
        </w:tc>
      </w:tr>
    </w:tbl>
    <w:p>
      <w:pPr>
        <w:pStyle w:val="ListParagraph"/>
        <w:numPr>
          <w:ilvl w:val="0"/>
          <w:numId w:val="2"/>
        </w:numPr>
        <w:spacing w:after="60" w:line="270"/>
      </w:pPr>
      <w:r>
        <w:rPr>
          <w:b/>
          <w:bCs/>
        </w:rPr>
        <w:t xml:space="preserve">Build: </w:t>
      </w:r>
      <w:r>
        <w:t xml:space="preserve">neutral_lifecycle (state machine), neutral_availability, recusals, cpd_records, feeding allocation (which only draws from active, available, conflict-clear neutrals) and the Academy (CPD).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F1F0" w:sz="1"/>
              <w:left w:val="single" w:color="0E7C7B" w:sz="24"/>
              <w:bottom w:val="single" w:color="E3F1F0" w:sz="1"/>
              <w:right w:val="single" w:color="E3F1F0" w:sz="1"/>
            </w:tcBorders>
            <w:shd w:fill="E3F1F0" w:val="clear"/>
            <w:tcMar>
              <w:top w:type="dxa" w:w="120"/>
              <w:left w:type="dxa" w:w="160"/>
              <w:bottom w:type="dxa" w:w="120"/>
              <w:right w:type="dxa" w:w="160"/>
            </w:tcMar>
          </w:tcPr>
          <w:p>
            <w:pPr>
              <w:spacing w:after="60"/>
            </w:pPr>
            <w:r>
              <w:rPr>
                <w:b/>
                <w:bCs/>
                <w:color w:val="0B2A4A"/>
                <w:sz w:val="20"/>
                <w:szCs w:val="20"/>
              </w:rPr>
              <w:t xml:space="preserve">Differentiator</w:t>
            </w:r>
          </w:p>
          <w:p>
            <w:pPr>
              <w:spacing w:after="0"/>
            </w:pPr>
            <w:r>
              <w:rPr>
                <w:color w:val="1F2937"/>
                <w:sz w:val="19"/>
                <w:szCs w:val="19"/>
              </w:rPr>
              <w:t xml:space="preserve">Most ODR platforms stop at ‘list of empanelled neutrals’. A managed neutral lifecycle — with availability, recusal, performance and CPD as live state — is what an institution (and a regulator) expects, and it is the engine behind allocation quality.</w:t>
            </w:r>
          </w:p>
        </w:tc>
      </w:tr>
    </w:tbl>
    <w:p>
      <w:r>
        <w:br w:type="page"/>
      </w:r>
    </w:p>
    <w:p>
      <w:pPr>
        <w:pStyle w:val="Heading2"/>
      </w:pPr>
      <w:r>
        <w:t xml:space="preserve">20.4 Transactional outbox &amp; saga orchestration</w:t>
      </w:r>
    </w:p>
    <w:p>
      <w:pPr>
        <w:spacing w:after="140" w:line="276"/>
      </w:pPr>
      <w:r>
        <w:t xml:space="preserve">This is the hardest correctness problem in the platform and the one most likely to corrupt a live case. Several critical flows touch multiple systems that can each fail midway: ‘award signed → e-stamp → notify parties → close case’, or ‘settlement reached → escrow capture → payout → update ledger’. Without explicit handling, a failure between steps leaves the case in an inconsistent state.</w:t>
      </w:r>
    </w:p>
    <w:p>
      <w:pPr>
        <w:pStyle w:val="ListParagraph"/>
        <w:numPr>
          <w:ilvl w:val="0"/>
          <w:numId w:val="2"/>
        </w:numPr>
        <w:spacing w:after="60" w:line="270"/>
      </w:pPr>
      <w:r>
        <w:rPr>
          <w:b/>
          <w:bCs/>
        </w:rPr>
        <w:t xml:space="preserve">Transactional outbox: </w:t>
      </w:r>
      <w:r>
        <w:t xml:space="preserve">domain events are written to an outbox_events table in the same database transaction as the state change, then relayed to the event bus by a separate process — so an event is never lost and never double-emitted, even if the service crashes after committing.</w:t>
      </w:r>
    </w:p>
    <w:p>
      <w:pPr>
        <w:pStyle w:val="ListParagraph"/>
        <w:numPr>
          <w:ilvl w:val="0"/>
          <w:numId w:val="2"/>
        </w:numPr>
        <w:spacing w:after="60" w:line="270"/>
      </w:pPr>
      <w:r>
        <w:rPr>
          <w:b/>
          <w:bCs/>
        </w:rPr>
        <w:t xml:space="preserve">Sagas with compensation: </w:t>
      </w:r>
      <w:r>
        <w:t xml:space="preserve">multi-step flows are modelled as sagas (sagas, saga_steps) with explicit compensating actions — if e-stamping fails after signing, the saga either retries or compensates and parks the case in a safe, flagged state for ops, never a corrupt one.</w:t>
      </w:r>
    </w:p>
    <w:p>
      <w:pPr>
        <w:pStyle w:val="ListParagraph"/>
        <w:numPr>
          <w:ilvl w:val="0"/>
          <w:numId w:val="2"/>
        </w:numPr>
        <w:spacing w:after="60" w:line="270"/>
      </w:pPr>
      <w:r>
        <w:rPr>
          <w:b/>
          <w:bCs/>
        </w:rPr>
        <w:t xml:space="preserve">Idempotency: </w:t>
      </w:r>
      <w:r>
        <w:t xml:space="preserve">every external call and event handler is idempotent (keyed), so retries are safe; this is the foundation under the async pipelines already described in §8.2.</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7ED" w:sz="1"/>
              <w:left w:val="single" w:color="B45309" w:sz="24"/>
              <w:bottom w:val="single" w:color="FFF7ED" w:sz="1"/>
              <w:right w:val="single" w:color="FFF7ED" w:sz="1"/>
            </w:tcBorders>
            <w:shd w:fill="FFF7ED" w:val="clear"/>
            <w:tcMar>
              <w:top w:type="dxa" w:w="120"/>
              <w:left w:type="dxa" w:w="160"/>
              <w:bottom w:type="dxa" w:w="120"/>
              <w:right w:type="dxa" w:w="160"/>
            </w:tcMar>
          </w:tcPr>
          <w:p>
            <w:pPr>
              <w:spacing w:after="60"/>
            </w:pPr>
            <w:r>
              <w:rPr>
                <w:b/>
                <w:bCs/>
                <w:color w:val="0B2A4A"/>
                <w:sz w:val="20"/>
                <w:szCs w:val="20"/>
              </w:rPr>
              <w:t xml:space="preserve">Why this is foundational</w:t>
            </w:r>
          </w:p>
          <w:p>
            <w:pPr>
              <w:spacing w:after="0"/>
            </w:pPr>
            <w:r>
              <w:rPr>
                <w:color w:val="1F2937"/>
                <w:sz w:val="19"/>
                <w:szCs w:val="19"/>
              </w:rPr>
              <w:t xml:space="preserve">This is the difference between a demo and a system that doesn't corrupt a case or mis-move money at 2am. The outbox/saga layer underpins enforceability (a half-signed award is never published) and financial integrity (escrow and payout cannot diverge). Build it early.</w:t>
            </w:r>
          </w:p>
        </w:tc>
      </w:tr>
    </w:tbl>
    <w:p>
      <w:r>
        <w:br w:type="page"/>
      </w:r>
    </w:p>
    <w:p>
      <w:pPr>
        <w:pStyle w:val="Heading2"/>
      </w:pPr>
      <w:r>
        <w:t xml:space="preserve">20.5 Config validation, simulation &amp; staged rollout</w:t>
      </w:r>
    </w:p>
    <w:p>
      <w:pPr>
        <w:spacing w:after="140" w:line="276"/>
      </w:pPr>
      <w:r>
        <w:t xml:space="preserve">Configuration-driven behaviour (rulesets, timelines, fees, templates, pathways) is the platform's moat — and, unmanaged, its biggest operational risk: a malformed timeline or a wrong fee published to production could mis-handle live matters. v1.2 makes the configuration plane safe to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7"/>
                <w:szCs w:val="17"/>
              </w:rPr>
              <w:t xml:space="preserve">Control</w:t>
            </w:r>
          </w:p>
        </w:tc>
        <w:tc>
          <w:tcPr>
            <w:tcW w:type="dxa" w:w="646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7"/>
                <w:szCs w:val="17"/>
              </w:rPr>
              <w:t xml:space="preserve">What it does</w:t>
            </w:r>
          </w:p>
        </w:tc>
      </w:tr>
      <w:tr>
        <w:tc>
          <w:tcPr>
            <w:tcW w:type="dxa" w:w="29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Schema validation (config_validations)</w:t>
            </w:r>
          </w:p>
        </w:tc>
        <w:tc>
          <w:tcPr>
            <w:tcW w:type="dxa" w:w="64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Every ruleset/version is validated against a schema before it can be published; a malformed timeline or fee is rejected at authoring time.</w:t>
            </w:r>
          </w:p>
        </w:tc>
      </w:tr>
      <w:tr>
        <w:tc>
          <w:tcPr>
            <w:tcW w:type="dxa" w:w="29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Simulation / dry-run (config_simulations)</w:t>
            </w:r>
          </w:p>
        </w:tc>
        <w:tc>
          <w:tcPr>
            <w:tcW w:type="dxa" w:w="64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Apply a proposed ruleset to historical or sample cases and show exactly what would change (clocks, fees, routing) before it goes live.</w:t>
            </w:r>
          </w:p>
        </w:tc>
      </w:tr>
      <w:tr>
        <w:tc>
          <w:tcPr>
            <w:tcW w:type="dxa" w:w="29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Versioned diffs &amp; approval</w:t>
            </w:r>
          </w:p>
        </w:tc>
        <w:tc>
          <w:tcPr>
            <w:tcW w:type="dxa" w:w="64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Human-readable diff of the change, peer-approved (ties to §19.5 ruleset versioning and change governance).</w:t>
            </w:r>
          </w:p>
        </w:tc>
      </w:tr>
      <w:tr>
        <w:tc>
          <w:tcPr>
            <w:tcW w:type="dxa" w:w="29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Staged rollout (rollout_stages)</w:t>
            </w:r>
          </w:p>
        </w:tc>
        <w:tc>
          <w:tcPr>
            <w:tcW w:type="dxa" w:w="64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Canary a new ruleset to one tenant or a small cohort, monitor, then promote — never a big-bang change across all tenants.</w:t>
            </w:r>
          </w:p>
        </w:tc>
      </w:tr>
    </w:tbl>
    <w:p>
      <w:pPr>
        <w:pStyle w:val="ListParagraph"/>
        <w:numPr>
          <w:ilvl w:val="0"/>
          <w:numId w:val="2"/>
        </w:numPr>
        <w:spacing w:after="60" w:line="270"/>
      </w:pPr>
      <w:r>
        <w:rPr>
          <w:b/>
          <w:bCs/>
        </w:rPr>
        <w:t xml:space="preserve">Why it matters: </w:t>
      </w:r>
      <w:r>
        <w:t xml:space="preserve">the flexibility that lets a new jurisdiction or regulation be a config change is only safe if a bad config cannot reach live cases unchecked. This turns the moat from a liability back into an asset.</w:t>
      </w:r>
    </w:p>
    <w:p>
      <w:r>
        <w:br w:type="page"/>
      </w:r>
    </w:p>
    <w:p>
      <w:pPr>
        <w:pStyle w:val="Heading2"/>
      </w:pPr>
      <w:r>
        <w:t xml:space="preserve">20.6 Vernacular &amp; accessibility architecture</w:t>
      </w:r>
    </w:p>
    <w:p>
      <w:pPr>
        <w:spacing w:after="140" w:line="276"/>
      </w:pPr>
      <w:r>
        <w:t xml:space="preserve">Access to justice in India is a multilingual, low-bandwidth, often-assisted problem; ‘multilingual UI’ alone is insufficient. v1.2 treats language and accessibility as architecture, which is genuinely differentiating for the marital and NBFC-borrower segments.</w:t>
      </w:r>
    </w:p>
    <w:p>
      <w:pPr>
        <w:pStyle w:val="ListParagraph"/>
        <w:numPr>
          <w:ilvl w:val="0"/>
          <w:numId w:val="2"/>
        </w:numPr>
        <w:spacing w:after="60" w:line="270"/>
      </w:pPr>
      <w:r>
        <w:rPr>
          <w:b/>
          <w:bCs/>
        </w:rPr>
        <w:t xml:space="preserve">Document localization: </w:t>
      </w:r>
      <w:r>
        <w:t xml:space="preserve">a localization service translates not just the UI but generated documents — an MSA or notice a party cannot read is not informed consent. localizations records language variants and the authoritative version.</w:t>
      </w:r>
    </w:p>
    <w:p>
      <w:pPr>
        <w:pStyle w:val="ListParagraph"/>
        <w:numPr>
          <w:ilvl w:val="0"/>
          <w:numId w:val="2"/>
        </w:numPr>
        <w:spacing w:after="60" w:line="270"/>
      </w:pPr>
      <w:r>
        <w:rPr>
          <w:b/>
          <w:bCs/>
        </w:rPr>
        <w:t xml:space="preserve">Assisted filing: </w:t>
      </w:r>
      <w:r>
        <w:t xml:space="preserve">an assisted_filings model lets a case manager, paralegal or kiosk operator file on behalf of a low-literacy party, with a clear audit trail of who assisted and the party's confirmation.</w:t>
      </w:r>
    </w:p>
    <w:p>
      <w:pPr>
        <w:pStyle w:val="ListParagraph"/>
        <w:numPr>
          <w:ilvl w:val="0"/>
          <w:numId w:val="2"/>
        </w:numPr>
        <w:spacing w:after="60" w:line="270"/>
      </w:pPr>
      <w:r>
        <w:rPr>
          <w:b/>
          <w:bCs/>
        </w:rPr>
        <w:t xml:space="preserve">Low-bandwidth &amp; channel-first: </w:t>
      </w:r>
      <w:r>
        <w:t xml:space="preserve">WhatsApp-first and voice/IVR flows for users who are not app-native; progressive enhancement so the core journey works on a low-end phone.</w:t>
      </w:r>
    </w:p>
    <w:p>
      <w:pPr>
        <w:pStyle w:val="ListParagraph"/>
        <w:numPr>
          <w:ilvl w:val="0"/>
          <w:numId w:val="2"/>
        </w:numPr>
        <w:spacing w:after="60" w:line="270"/>
      </w:pPr>
      <w:r>
        <w:rPr>
          <w:b/>
          <w:bCs/>
        </w:rPr>
        <w:t xml:space="preserve">Accessibility (WCAG): </w:t>
      </w:r>
      <w:r>
        <w:t xml:space="preserve">accessibility_prefs per user; WCAG-aligned UI as a tested requirement (DOC-13), not an afterthought.</w:t>
      </w:r>
    </w:p>
    <w:p>
      <w:pPr>
        <w:spacing w:after="80"/>
      </w:pPr>
      <w:r>
        <w:t xml:space="preserve"/>
      </w:r>
    </w:p>
    <w:p>
      <w:pPr>
        <w:pStyle w:val="Heading2"/>
      </w:pPr>
      <w:r>
        <w:t xml:space="preserve">20.7 Case-room real-time collaboration &amp; presence</w:t>
      </w:r>
    </w:p>
    <w:p>
      <w:pPr>
        <w:spacing w:after="140" w:line="276"/>
      </w:pPr>
      <w:r>
        <w:t xml:space="preserve">Hearings, caucuses and document co-review are the surfaces where mediation and arbitration actually happen, and they need more than a video link. v1.2 gives the case room its own architectural treatment.</w:t>
      </w:r>
    </w:p>
    <w:p>
      <w:pPr>
        <w:pStyle w:val="ListParagraph"/>
        <w:numPr>
          <w:ilvl w:val="0"/>
          <w:numId w:val="2"/>
        </w:numPr>
        <w:spacing w:after="60" w:line="270"/>
      </w:pPr>
      <w:r>
        <w:rPr>
          <w:b/>
          <w:bCs/>
        </w:rPr>
        <w:t xml:space="preserve">Presence &amp; floor control: </w:t>
      </w:r>
      <w:r>
        <w:t xml:space="preserve">room_presence tracks who is in the room; the neutral has floor/turn-taking control and can admit, mute, or move participants.</w:t>
      </w:r>
    </w:p>
    <w:p>
      <w:pPr>
        <w:pStyle w:val="ListParagraph"/>
        <w:numPr>
          <w:ilvl w:val="0"/>
          <w:numId w:val="2"/>
        </w:numPr>
        <w:spacing w:after="60" w:line="270"/>
      </w:pPr>
      <w:r>
        <w:rPr>
          <w:b/>
          <w:bCs/>
        </w:rPr>
        <w:t xml:space="preserve">Caucus with controlled disclosure: </w:t>
      </w:r>
      <w:r>
        <w:t xml:space="preserve">private breakout rooms (caucus) where what is shared stays private unless the party authorises disclosure back to the joint session — central to mediation confidentiality.</w:t>
      </w:r>
    </w:p>
    <w:p>
      <w:pPr>
        <w:pStyle w:val="ListParagraph"/>
        <w:numPr>
          <w:ilvl w:val="0"/>
          <w:numId w:val="2"/>
        </w:numPr>
        <w:spacing w:after="60" w:line="270"/>
      </w:pPr>
      <w:r>
        <w:rPr>
          <w:b/>
          <w:bCs/>
        </w:rPr>
        <w:t xml:space="preserve">Shared artefacts &amp; synchronized record: </w:t>
      </w:r>
      <w:r>
        <w:t xml:space="preserve">room_artifacts records what document/exhibit was shown when, with annotations, producing a synchronized, auditable record of the hearing (feeds evidence integrity, §19.6).</w:t>
      </w:r>
    </w:p>
    <w:p>
      <w:pPr>
        <w:pStyle w:val="ListParagraph"/>
        <w:numPr>
          <w:ilvl w:val="0"/>
          <w:numId w:val="2"/>
        </w:numPr>
        <w:spacing w:after="60" w:line="270"/>
      </w:pPr>
      <w:r>
        <w:rPr>
          <w:b/>
          <w:bCs/>
        </w:rPr>
        <w:t xml:space="preserve">Recording with consent: </w:t>
      </w:r>
      <w:r>
        <w:t xml:space="preserve">recording is consent-gated and tier-aware (POSH/marital handled with heightened care).</w:t>
      </w:r>
    </w:p>
    <w:p>
      <w:r>
        <w:br w:type="page"/>
      </w:r>
    </w:p>
    <w:p>
      <w:pPr>
        <w:pStyle w:val="Heading2"/>
      </w:pPr>
      <w:r>
        <w:t xml:space="preserve">20.8 Reporting &amp; regulatory-returns layer</w:t>
      </w:r>
    </w:p>
    <w:p>
      <w:pPr>
        <w:spacing w:after="140" w:line="276"/>
      </w:pPr>
      <w:r>
        <w:t xml:space="preserve">The warehouse (§7.3) answers ad-hoc questions; regulators (RBI, SEBI, the Mediation Council) and enterprise clients need specific, recurring, formatted returns with sign-off and a submission trail. ‘We can answer any question’ is weaker than ‘here is the exact return, generated and filed on schedule’.</w:t>
      </w:r>
    </w:p>
    <w:p>
      <w:pPr>
        <w:pStyle w:val="ListParagraph"/>
        <w:numPr>
          <w:ilvl w:val="0"/>
          <w:numId w:val="2"/>
        </w:numPr>
        <w:spacing w:after="60" w:line="270"/>
      </w:pPr>
      <w:r>
        <w:rPr>
          <w:b/>
          <w:bCs/>
        </w:rPr>
        <w:t xml:space="preserve">Build: </w:t>
      </w:r>
      <w:r>
        <w:t xml:space="preserve">report_templates (defined formats per regulator/client), report_runs (scheduled generation, parameters, status), and regulatory_returns (the specific filing, its period, sign-off and submission/audit trail).</w:t>
      </w:r>
    </w:p>
    <w:p>
      <w:pPr>
        <w:pStyle w:val="ListParagraph"/>
        <w:numPr>
          <w:ilvl w:val="0"/>
          <w:numId w:val="2"/>
        </w:numPr>
        <w:spacing w:after="60" w:line="270"/>
      </w:pPr>
      <w:r>
        <w:rPr>
          <w:b/>
          <w:bCs/>
        </w:rPr>
        <w:t xml:space="preserve">Examples: </w:t>
      </w:r>
      <w:r>
        <w:t xml:space="preserve">RBI grievance/ODR returns, SEBI SMART-ODR data, Mediation Council statistics, enterprise quarterly dispute reports, POSH annual-report support.</w:t>
      </w:r>
    </w:p>
    <w:p>
      <w:pPr>
        <w:pStyle w:val="ListParagraph"/>
        <w:numPr>
          <w:ilvl w:val="0"/>
          <w:numId w:val="2"/>
        </w:numPr>
        <w:spacing w:after="60" w:line="270"/>
      </w:pPr>
      <w:r>
        <w:rPr>
          <w:b/>
          <w:bCs/>
        </w:rPr>
        <w:t xml:space="preserve">Governance: </w:t>
      </w:r>
      <w:r>
        <w:t xml:space="preserve">returns are reviewed and signed off (DOC-00 §4.1 cadence) before submission; every filing is retained as evidence.</w:t>
      </w:r>
    </w:p>
    <w:p>
      <w:pPr>
        <w:spacing w:after="80"/>
      </w:pPr>
      <w:r>
        <w:t xml:space="preserve"/>
      </w:r>
    </w:p>
    <w:p>
      <w:pPr>
        <w:pStyle w:val="Heading2"/>
      </w:pPr>
      <w:r>
        <w:t xml:space="preserve">20.9 AI retrieval grounding &amp; evaluation</w:t>
      </w:r>
    </w:p>
    <w:p>
      <w:pPr>
        <w:spacing w:after="140" w:line="276"/>
      </w:pPr>
      <w:r>
        <w:t xml:space="preserve">v1.1 (19.3) made AI safe by control — advisory-only, tier policy, provenance. v1.2 makes it trustworthy by quality, addressing the real risk in legal text: a fluent but wrong or fabricated draft.</w:t>
      </w:r>
    </w:p>
    <w:p>
      <w:pPr>
        <w:pStyle w:val="ListParagraph"/>
        <w:numPr>
          <w:ilvl w:val="0"/>
          <w:numId w:val="2"/>
        </w:numPr>
        <w:spacing w:after="60" w:line="270"/>
      </w:pPr>
      <w:r>
        <w:rPr>
          <w:b/>
          <w:bCs/>
        </w:rPr>
        <w:t xml:space="preserve">Retrieval grounding (RAG): </w:t>
      </w:r>
      <w:r>
        <w:t xml:space="preserve">AI drafting and summarisation are grounded in the platform's own authoritative sources — templates, rulesets, the matter's own documents, and (lawful) precedent — via a knowledge_sources index and recorded retrievals, so suggestions cite real sources rather than invent them.</w:t>
      </w:r>
    </w:p>
    <w:p>
      <w:pPr>
        <w:pStyle w:val="ListParagraph"/>
        <w:numPr>
          <w:ilvl w:val="0"/>
          <w:numId w:val="2"/>
        </w:numPr>
        <w:spacing w:after="60" w:line="270"/>
      </w:pPr>
      <w:r>
        <w:rPr>
          <w:b/>
          <w:bCs/>
        </w:rPr>
        <w:t xml:space="preserve">Evaluation harness: </w:t>
      </w:r>
      <w:r>
        <w:t xml:space="preserve">ai_evaluations holds golden datasets and scored runs per task (summary, draft, classification); a model/version cannot be promoted without meeting the bar, and regressions pause the feature (ties to the model registry, §19.3).</w:t>
      </w:r>
    </w:p>
    <w:p>
      <w:pPr>
        <w:pStyle w:val="ListParagraph"/>
        <w:numPr>
          <w:ilvl w:val="0"/>
          <w:numId w:val="2"/>
        </w:numPr>
        <w:spacing w:after="60" w:line="270"/>
      </w:pPr>
      <w:r>
        <w:rPr>
          <w:b/>
          <w:bCs/>
        </w:rPr>
        <w:t xml:space="preserve">Hallucination handling: </w:t>
      </w:r>
      <w:r>
        <w:t xml:space="preserve">legal-text generation flags low-confidence or ungrounded output and routes it for mandatory human edit; the neutral always owns the final text.</w:t>
      </w:r>
    </w:p>
    <w:p>
      <w:pPr>
        <w:spacing w:after="80"/>
      </w:pPr>
      <w:r>
        <w:t xml:space="preserve"/>
      </w:r>
    </w:p>
    <w:p>
      <w:pPr>
        <w:pStyle w:val="Heading2"/>
      </w:pPr>
      <w:r>
        <w:t xml:space="preserve">20.10 Environments &amp; tenant provisioning / offboarding</w:t>
      </w:r>
    </w:p>
    <w:p>
      <w:pPr>
        <w:spacing w:after="140" w:line="276"/>
      </w:pPr>
      <w:r>
        <w:t xml:space="preserve">Two standard audit questions the architecture should answer explicitly: how a tenant is brought on and taken off, and how data moves safely across environments.</w:t>
      </w:r>
    </w:p>
    <w:p>
      <w:pPr>
        <w:pStyle w:val="ListParagraph"/>
        <w:numPr>
          <w:ilvl w:val="0"/>
          <w:numId w:val="2"/>
        </w:numPr>
        <w:spacing w:after="60" w:line="270"/>
      </w:pPr>
      <w:r>
        <w:rPr>
          <w:b/>
          <w:bCs/>
        </w:rPr>
        <w:t xml:space="preserve">Provisioning / offboarding: </w:t>
      </w:r>
      <w:r>
        <w:t xml:space="preserve">tenant_provisioning models the lifecycle of a Private Court or enterprise — configuration, branding, panels, then, at exit, a controlled data_exports flow with retention and lawful deletion (DPDP), all audited.</w:t>
      </w:r>
    </w:p>
    <w:p>
      <w:pPr>
        <w:pStyle w:val="ListParagraph"/>
        <w:numPr>
          <w:ilvl w:val="0"/>
          <w:numId w:val="2"/>
        </w:numPr>
        <w:spacing w:after="60" w:line="270"/>
      </w:pPr>
      <w:r>
        <w:rPr>
          <w:b/>
          <w:bCs/>
        </w:rPr>
        <w:t xml:space="preserve">Environment &amp; data lifecycle: </w:t>
      </w:r>
      <w:r>
        <w:t xml:space="preserve">an environments registry and the data-movement rules across dev/staging/prod — enforcing the synthetic-data guarantee (DOC-13) so production special-category data (POSH/marital) never reaches lower environments.</w:t>
      </w:r>
    </w:p>
    <w:p>
      <w:pPr>
        <w:spacing w:after="80"/>
      </w:pPr>
      <w:r>
        <w:t xml:space="preserve"/>
      </w:r>
    </w:p>
    <w:p>
      <w:pPr>
        <w:pStyle w:val="Heading2"/>
      </w:pPr>
      <w:r>
        <w:t xml:space="preserve">20.11 Per-tenant API quota &amp; abuse prevention</w:t>
      </w:r>
    </w:p>
    <w:p>
      <w:pPr>
        <w:spacing w:after="140" w:line="276"/>
      </w:pPr>
      <w:r>
        <w:t xml:space="preserve">The gateway rate-limits (§9.4), but embedded/white-label and bulk-lender use needs per-tenant quotas and abuse detection — and this is the missing control for a risk already on the register (a lender bulk-filing to harass borrowers, RISK-013 family).</w:t>
      </w:r>
    </w:p>
    <w:p>
      <w:pPr>
        <w:pStyle w:val="ListParagraph"/>
        <w:numPr>
          <w:ilvl w:val="0"/>
          <w:numId w:val="2"/>
        </w:numPr>
        <w:spacing w:after="60" w:line="270"/>
      </w:pPr>
      <w:r>
        <w:rPr>
          <w:b/>
          <w:bCs/>
        </w:rPr>
        <w:t xml:space="preserve">Build: </w:t>
      </w:r>
      <w:r>
        <w:t xml:space="preserve">api_quotas (per-tenant limits and fair-use tiers), api_usage (metering for billing and enforcement), and abuse_signals (anomaly detection — e.g., a spike in filings against the same borrower, or filings that breach fair-practice norms) that can throttle or hold a tenant pending review.</w:t>
      </w:r>
    </w:p>
    <w:p>
      <w:pPr>
        <w:pStyle w:val="ListParagraph"/>
        <w:numPr>
          <w:ilvl w:val="0"/>
          <w:numId w:val="2"/>
        </w:numPr>
        <w:spacing w:after="60" w:line="270"/>
      </w:pPr>
      <w:r>
        <w:rPr>
          <w:b/>
          <w:bCs/>
        </w:rPr>
        <w:t xml:space="preserve">Ties to: </w:t>
      </w:r>
      <w:r>
        <w:t xml:space="preserve">the grievance track (a harassed borrower's complaint) and the fairness telemetry (19.12).</w:t>
      </w:r>
    </w:p>
    <w:p>
      <w:pPr>
        <w:spacing w:after="80"/>
      </w:pPr>
      <w:r>
        <w:t xml:space="preserve"/>
      </w:r>
    </w:p>
    <w:p>
      <w:pPr>
        <w:pStyle w:val="Heading2"/>
      </w:pPr>
      <w:r>
        <w:t xml:space="preserve">20.12 Feature flags &amp; progressive delivery</w:t>
      </w:r>
    </w:p>
    <w:p>
      <w:pPr>
        <w:spacing w:after="140" w:line="276"/>
      </w:pPr>
      <w:r>
        <w:t xml:space="preserve">To ship safely across phases and tenants — and to dark-launch the AI and Private Court features — feature management is a first-class architectural component, not an afterthought.</w:t>
      </w:r>
    </w:p>
    <w:p>
      <w:pPr>
        <w:pStyle w:val="ListParagraph"/>
        <w:numPr>
          <w:ilvl w:val="0"/>
          <w:numId w:val="2"/>
        </w:numPr>
        <w:spacing w:after="60" w:line="270"/>
      </w:pPr>
      <w:r>
        <w:rPr>
          <w:b/>
          <w:bCs/>
        </w:rPr>
        <w:t xml:space="preserve">Build: </w:t>
      </w:r>
      <w:r>
        <w:t xml:space="preserve">feature_flags and flag_assignments (per environment, tenant, or cohort), enabling canary releases, dark launches, kill-switches for risky features, and per-tenant capability tiers.</w:t>
      </w:r>
    </w:p>
    <w:p>
      <w:pPr>
        <w:pStyle w:val="ListParagraph"/>
        <w:numPr>
          <w:ilvl w:val="0"/>
          <w:numId w:val="2"/>
        </w:numPr>
        <w:spacing w:after="60" w:line="270"/>
      </w:pPr>
      <w:r>
        <w:rPr>
          <w:b/>
          <w:bCs/>
        </w:rPr>
        <w:t xml:space="preserve">Synergy: </w:t>
      </w:r>
      <w:r>
        <w:t xml:space="preserve">works with staged config rollout (20.5) and the phased roadmap (§16) — a feature can be enabled for one design-partner tenant before general availability.</w:t>
      </w:r>
    </w:p>
    <w:p>
      <w:pPr>
        <w:spacing w:after="80"/>
      </w:pPr>
      <w:r>
        <w:t xml:space="preserve"/>
      </w:r>
    </w:p>
    <w:p>
      <w:pPr>
        <w:pStyle w:val="Heading2"/>
      </w:pPr>
      <w:r>
        <w:t xml:space="preserve">20.13 New tables added to the Forms &amp; Database Specification</w:t>
      </w:r>
    </w:p>
    <w:p>
      <w:pPr>
        <w:spacing w:after="140" w:line="276"/>
      </w:pPr>
      <w:r>
        <w:t xml:space="preserve">The v1.2 enhancements introduce the following tables, specified at field level on a new tab (“4e. Enhancement Tables v1.2”) in the companion .xlsx, with relationships and enumerations updated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7"/>
                <w:szCs w:val="17"/>
              </w:rPr>
              <w:t xml:space="preserve">Enhancement</w:t>
            </w:r>
          </w:p>
        </w:tc>
        <w:tc>
          <w:tcPr>
            <w:tcW w:type="dxa" w:w="606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7"/>
                <w:szCs w:val="17"/>
              </w:rPr>
              <w:t xml:space="preserve">New tables</w:t>
            </w:r>
          </w:p>
        </w:tc>
      </w:tr>
      <w:tr>
        <w:tc>
          <w:tcPr>
            <w:tcW w:type="dxa" w:w="33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20.1 Comms &amp; consent engine</w:t>
            </w:r>
          </w:p>
        </w:tc>
        <w:tc>
          <w:tcPr>
            <w:tcW w:type="dxa" w:w="60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party_channels, channel_consents, reachability_log</w:t>
            </w:r>
          </w:p>
        </w:tc>
      </w:tr>
      <w:tr>
        <w:tc>
          <w:tcPr>
            <w:tcW w:type="dxa" w:w="33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20.2 Matter layer</w:t>
            </w:r>
          </w:p>
        </w:tc>
        <w:tc>
          <w:tcPr>
            <w:tcW w:type="dxa" w:w="60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matters (+ cases.matter_id)</w:t>
            </w:r>
          </w:p>
        </w:tc>
      </w:tr>
      <w:tr>
        <w:tc>
          <w:tcPr>
            <w:tcW w:type="dxa" w:w="33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20.3 Neutral lifecycle</w:t>
            </w:r>
          </w:p>
        </w:tc>
        <w:tc>
          <w:tcPr>
            <w:tcW w:type="dxa" w:w="60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neutral_lifecycle, neutral_availability, recusals, cpd_records</w:t>
            </w:r>
          </w:p>
        </w:tc>
      </w:tr>
      <w:tr>
        <w:tc>
          <w:tcPr>
            <w:tcW w:type="dxa" w:w="33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20.4 Outbox &amp; saga</w:t>
            </w:r>
          </w:p>
        </w:tc>
        <w:tc>
          <w:tcPr>
            <w:tcW w:type="dxa" w:w="60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outbox_events, sagas, saga_steps</w:t>
            </w:r>
          </w:p>
        </w:tc>
      </w:tr>
      <w:tr>
        <w:tc>
          <w:tcPr>
            <w:tcW w:type="dxa" w:w="33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20.5 Config safety</w:t>
            </w:r>
          </w:p>
        </w:tc>
        <w:tc>
          <w:tcPr>
            <w:tcW w:type="dxa" w:w="60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config_validations, config_simulations, rollout_stages</w:t>
            </w:r>
          </w:p>
        </w:tc>
      </w:tr>
      <w:tr>
        <w:tc>
          <w:tcPr>
            <w:tcW w:type="dxa" w:w="33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20.6 Vernacular &amp; accessibility</w:t>
            </w:r>
          </w:p>
        </w:tc>
        <w:tc>
          <w:tcPr>
            <w:tcW w:type="dxa" w:w="60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localizations, assisted_filings, accessibility_prefs</w:t>
            </w:r>
          </w:p>
        </w:tc>
      </w:tr>
      <w:tr>
        <w:tc>
          <w:tcPr>
            <w:tcW w:type="dxa" w:w="33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20.7 Case-room collaboration</w:t>
            </w:r>
          </w:p>
        </w:tc>
        <w:tc>
          <w:tcPr>
            <w:tcW w:type="dxa" w:w="60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room_sessions, room_presence, room_artifacts</w:t>
            </w:r>
          </w:p>
        </w:tc>
      </w:tr>
      <w:tr>
        <w:tc>
          <w:tcPr>
            <w:tcW w:type="dxa" w:w="33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20.8 Reporting &amp; returns</w:t>
            </w:r>
          </w:p>
        </w:tc>
        <w:tc>
          <w:tcPr>
            <w:tcW w:type="dxa" w:w="60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report_templates, report_runs, regulatory_returns</w:t>
            </w:r>
          </w:p>
        </w:tc>
      </w:tr>
      <w:tr>
        <w:tc>
          <w:tcPr>
            <w:tcW w:type="dxa" w:w="33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20.9 AI grounding &amp; eval</w:t>
            </w:r>
          </w:p>
        </w:tc>
        <w:tc>
          <w:tcPr>
            <w:tcW w:type="dxa" w:w="60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knowledge_sources, retrievals, ai_evaluations</w:t>
            </w:r>
          </w:p>
        </w:tc>
      </w:tr>
      <w:tr>
        <w:tc>
          <w:tcPr>
            <w:tcW w:type="dxa" w:w="33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20.10 Tenant &amp; environments</w:t>
            </w:r>
          </w:p>
        </w:tc>
        <w:tc>
          <w:tcPr>
            <w:tcW w:type="dxa" w:w="60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tenant_provisioning, data_exports, environments</w:t>
            </w:r>
          </w:p>
        </w:tc>
      </w:tr>
      <w:tr>
        <w:tc>
          <w:tcPr>
            <w:tcW w:type="dxa" w:w="33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20.11 API quota &amp; abuse</w:t>
            </w:r>
          </w:p>
        </w:tc>
        <w:tc>
          <w:tcPr>
            <w:tcW w:type="dxa" w:w="60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api_quotas, api_usage, abuse_signals</w:t>
            </w:r>
          </w:p>
        </w:tc>
      </w:tr>
      <w:tr>
        <w:tc>
          <w:tcPr>
            <w:tcW w:type="dxa" w:w="33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20.12 Feature flags</w:t>
            </w:r>
          </w:p>
        </w:tc>
        <w:tc>
          <w:tcPr>
            <w:tcW w:type="dxa" w:w="60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feature_flags, flag_assignments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F4EA" w:sz="1"/>
              <w:left w:val="single" w:color="1E7D34" w:sz="24"/>
              <w:bottom w:val="single" w:color="E6F4EA" w:sz="1"/>
              <w:right w:val="single" w:color="E6F4EA" w:sz="1"/>
            </w:tcBorders>
            <w:shd w:fill="E6F4EA" w:val="clear"/>
            <w:tcMar>
              <w:top w:type="dxa" w:w="120"/>
              <w:left w:type="dxa" w:w="160"/>
              <w:bottom w:type="dxa" w:w="120"/>
              <w:right w:type="dxa" w:w="160"/>
            </w:tcMar>
          </w:tcPr>
          <w:p>
            <w:pPr>
              <w:spacing w:after="60"/>
            </w:pPr>
            <w:r>
              <w:rPr>
                <w:b/>
                <w:bCs/>
                <w:color w:val="0B2A4A"/>
                <w:sz w:val="20"/>
                <w:szCs w:val="20"/>
              </w:rPr>
              <w:t xml:space="preserve">Sequencing within v1.2</w:t>
            </w:r>
          </w:p>
          <w:p>
            <w:pPr>
              <w:spacing w:after="0"/>
            </w:pPr>
            <w:r>
              <w:rPr>
                <w:color w:val="1F2937"/>
                <w:sz w:val="19"/>
                <w:szCs w:val="19"/>
              </w:rPr>
              <w:t xml:space="preserve">Of the twelve, build the two foundational items first — the transactional outbox/saga layer (20.4) and configuration safety (20.5) — alongside the Phase-1/2 MVP; they prevent the failure modes most likely to corrupt a case or take the platform down. The Matter layer (20.2) and neutral lifecycle (20.3) follow closely as they shape the core domain and the supply side. The remainder track the pillars and channels they serve.</w:t>
            </w:r>
          </w:p>
        </w:tc>
      </w:tr>
    </w:tbl>
    <w:p>
      <w:pPr>
        <w:spacing w:after="80"/>
      </w:pPr>
      <w:r>
        <w:t xml:space="preserve"/>
      </w:r>
    </w:p>
    <w:p>
      <w:pPr>
        <w:spacing w:after="140" w:line="276"/>
      </w:pPr>
      <w:r>
        <w:rPr>
          <w:i/>
          <w:iCs/>
          <w:color w:val="6B7280"/>
        </w:rPr>
        <w:t xml:space="preserve">End of Section 20. With the v1.2 set the architecture is hardened not only for valid, compliant outcomes (v1.1) but for production correctness, safe change, real-world access, and institutional-scale operations.</w:t>
      </w:r>
    </w:p>
    <w:p>
      <w:r>
        <w:br w:type="page"/>
      </w:r>
    </w:p>
    <w:p>
      <w:pPr>
        <w:pStyle w:val="Heading1"/>
      </w:pPr>
      <w:r>
        <w:t xml:space="preserve">21. Competitive-Response Enhancements (v1.3)</w:t>
      </w:r>
    </w:p>
    <w:p>
      <w:pPr>
        <w:spacing w:after="140" w:line="276"/>
      </w:pPr>
      <w:r>
        <w:t xml:space="preserve">The v1.1 set hardened the platform for enforceability and compliance; the v1.2 set hardened it for production reality. The v1.3 set responds to the competitive landscape as it actually stands in mid-2026 (see the Competitor &amp; Market Research Report, DOC-04). Fresh research showed that the leading Indian players — SAMA, Presolv360, Jupitice and CORD — each beat a generalist in their own lane today: SAMA on document-AI and embedded volume, CORD on securities credibility and a court-upheld award with sector rulebooks, Jupitice on the private-court and government (Lok Adalat) channel, and Presolv360 on funding, brand and a training arm. These seven enhancements close the most important capability gaps and encode the go-to-market sequencing the competition makes necessary.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2F8" w:sz="1"/>
              <w:left w:val="single" w:color="0E7C7B" w:sz="24"/>
              <w:bottom w:val="single" w:color="EAF2F8" w:sz="1"/>
              <w:right w:val="single" w:color="EAF2F8" w:sz="1"/>
            </w:tcBorders>
            <w:shd w:fill="EAF2F8" w:val="clear"/>
            <w:tcMar>
              <w:top w:type="dxa" w:w="120"/>
              <w:left w:type="dxa" w:w="160"/>
              <w:bottom w:type="dxa" w:w="120"/>
              <w:right w:type="dxa" w:w="160"/>
            </w:tcMar>
          </w:tcPr>
          <w:p>
            <w:pPr>
              <w:spacing w:after="60"/>
            </w:pPr>
            <w:r>
              <w:rPr>
                <w:b/>
                <w:bCs/>
                <w:color w:val="0B2A4A"/>
                <w:sz w:val="20"/>
                <w:szCs w:val="20"/>
              </w:rPr>
              <w:t xml:space="preserve">The governing insight</w:t>
            </w:r>
          </w:p>
          <w:p>
            <w:pPr>
              <w:spacing w:after="0"/>
            </w:pPr>
            <w:r>
              <w:rPr>
                <w:color w:val="1F2937"/>
                <w:sz w:val="19"/>
                <w:szCs w:val="19"/>
              </w:rPr>
              <w:t xml:space="preserve">No competitor spans all four dispute pillars plus Private Court plus Academy — that breadth is Equator's unique position. But breadth does not win a single deal; depth in one lane does. v1.3 is therefore as much about strategy (win the embedded-NBFC lane first) as about features. The first two items (document-AI parity and named sector rulebooks) and the sequencing discipline (21.7) are what make the NBFC wedge winnable against SAMA.</w:t>
            </w:r>
          </w:p>
        </w:tc>
      </w:tr>
    </w:tbl>
    <w:p>
      <w:pPr>
        <w:spacing w:after="80"/>
      </w:pPr>
      <w:r>
        <w:t xml:space="preserve"/>
      </w:r>
    </w:p>
    <w:p>
      <w:pPr>
        <w:pStyle w:val="Heading2"/>
      </w:pPr>
      <w:r>
        <w:t xml:space="preserve">21.0 Summary of the v1.3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3650"/>
        <w:gridCol w:w="2700"/>
        <w:gridCol w:w="2560"/>
      </w:tblGrid>
      <w:tr>
        <w:trPr>
          <w:tblHeader/>
        </w:trPr>
        <w:tc>
          <w:tcPr>
            <w:tcW w:type="dxa" w:w="45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6"/>
                <w:szCs w:val="16"/>
              </w:rPr>
              <w:t xml:space="preserve">#</w:t>
            </w:r>
          </w:p>
        </w:tc>
        <w:tc>
          <w:tcPr>
            <w:tcW w:type="dxa" w:w="365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6"/>
                <w:szCs w:val="16"/>
              </w:rPr>
              <w:t xml:space="preserve">Enhancement</w:t>
            </w:r>
          </w:p>
        </w:tc>
        <w:tc>
          <w:tcPr>
            <w:tcW w:type="dxa" w:w="27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6"/>
                <w:szCs w:val="16"/>
              </w:rPr>
              <w:t xml:space="preserve">Answers which competitor</w:t>
            </w:r>
          </w:p>
        </w:tc>
        <w:tc>
          <w:tcPr>
            <w:tcW w:type="dxa" w:w="256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6"/>
                <w:szCs w:val="16"/>
              </w:rPr>
              <w:t xml:space="preserve">Primary artefact</w:t>
            </w:r>
          </w:p>
        </w:tc>
      </w:tr>
      <w:tr>
        <w:tc>
          <w:tcPr>
            <w:tcW w:type="dxa" w:w="4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1</w:t>
            </w:r>
          </w:p>
        </w:tc>
        <w:tc>
          <w:tcPr>
            <w:tcW w:type="dxa" w:w="36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Document-AI (OCR / extraction / classification)</w:t>
            </w:r>
          </w:p>
        </w:tc>
        <w:tc>
          <w:tcPr>
            <w:tcW w:type="dxa" w:w="2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SAMA (OCR evidence review)</w:t>
            </w:r>
          </w:p>
        </w:tc>
        <w:tc>
          <w:tcPr>
            <w:tcW w:type="dxa" w:w="25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document_ai_jobs, extracted_fields</w:t>
            </w:r>
          </w:p>
        </w:tc>
      </w:tr>
      <w:tr>
        <w:tc>
          <w:tcPr>
            <w:tcW w:type="dxa" w:w="4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2</w:t>
            </w:r>
          </w:p>
        </w:tc>
        <w:tc>
          <w:tcPr>
            <w:tcW w:type="dxa" w:w="36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Named sector rulebooks</w:t>
            </w:r>
          </w:p>
        </w:tc>
        <w:tc>
          <w:tcPr>
            <w:tcW w:type="dxa" w:w="2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CORD (sector rulebooks)</w:t>
            </w:r>
          </w:p>
        </w:tc>
        <w:tc>
          <w:tcPr>
            <w:tcW w:type="dxa" w:w="25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sector_rulebooks (+ ruleset link)</w:t>
            </w:r>
          </w:p>
        </w:tc>
      </w:tr>
      <w:tr>
        <w:tc>
          <w:tcPr>
            <w:tcW w:type="dxa" w:w="4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3</w:t>
            </w:r>
          </w:p>
        </w:tc>
        <w:tc>
          <w:tcPr>
            <w:tcW w:type="dxa" w:w="36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‘First award upheld’ trust milestone</w:t>
            </w:r>
          </w:p>
        </w:tc>
        <w:tc>
          <w:tcPr>
            <w:tcW w:type="dxa" w:w="2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CORD (court-upheld award)</w:t>
            </w:r>
          </w:p>
        </w:tc>
        <w:tc>
          <w:tcPr>
            <w:tcW w:type="dxa" w:w="25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GTM milestone + trust_milestones</w:t>
            </w:r>
          </w:p>
        </w:tc>
      </w:tr>
      <w:tr>
        <w:tc>
          <w:tcPr>
            <w:tcW w:type="dxa" w:w="4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4</w:t>
            </w:r>
          </w:p>
        </w:tc>
        <w:tc>
          <w:tcPr>
            <w:tcW w:type="dxa" w:w="36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Lok Adalat-as-a-Service / government channel</w:t>
            </w:r>
          </w:p>
        </w:tc>
        <w:tc>
          <w:tcPr>
            <w:tcW w:type="dxa" w:w="2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Jupitice (Digital Lok Adalat)</w:t>
            </w:r>
          </w:p>
        </w:tc>
        <w:tc>
          <w:tcPr>
            <w:tcW w:type="dxa" w:w="25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lok_adalat_events, bulk settlement</w:t>
            </w:r>
          </w:p>
        </w:tc>
      </w:tr>
      <w:tr>
        <w:tc>
          <w:tcPr>
            <w:tcW w:type="dxa" w:w="4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5</w:t>
            </w:r>
          </w:p>
        </w:tc>
        <w:tc>
          <w:tcPr>
            <w:tcW w:type="dxa" w:w="36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Transparent published pricing (rate card)</w:t>
            </w:r>
          </w:p>
        </w:tc>
        <w:tc>
          <w:tcPr>
            <w:tcW w:type="dxa" w:w="2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All (opaque/quote pricing)</w:t>
            </w:r>
          </w:p>
        </w:tc>
        <w:tc>
          <w:tcPr>
            <w:tcW w:type="dxa" w:w="25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rate_cards, fee transparency</w:t>
            </w:r>
          </w:p>
        </w:tc>
      </w:tr>
      <w:tr>
        <w:tc>
          <w:tcPr>
            <w:tcW w:type="dxa" w:w="4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6</w:t>
            </w:r>
          </w:p>
        </w:tc>
        <w:tc>
          <w:tcPr>
            <w:tcW w:type="dxa" w:w="365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AI-facilitated settlement (money pillars)</w:t>
            </w:r>
          </w:p>
        </w:tc>
        <w:tc>
          <w:tcPr>
            <w:tcW w:type="dxa" w:w="27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Smartsettle/Immediation (global)</w:t>
            </w:r>
          </w:p>
        </w:tc>
        <w:tc>
          <w:tcPr>
            <w:tcW w:type="dxa" w:w="25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settlement_negotiations, bids</w:t>
            </w:r>
          </w:p>
        </w:tc>
      </w:tr>
      <w:tr>
        <w:tc>
          <w:tcPr>
            <w:tcW w:type="dxa" w:w="4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7</w:t>
            </w:r>
          </w:p>
        </w:tc>
        <w:tc>
          <w:tcPr>
            <w:tcW w:type="dxa" w:w="365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Academy-as-empanelment-funnel + GTM sequencing</w:t>
            </w:r>
          </w:p>
        </w:tc>
        <w:tc>
          <w:tcPr>
            <w:tcW w:type="dxa" w:w="27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Presolv360 (training arm)</w:t>
            </w:r>
          </w:p>
        </w:tc>
        <w:tc>
          <w:tcPr>
            <w:tcW w:type="dxa" w:w="25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academy→empanelment linkage; strategy</w:t>
            </w:r>
          </w:p>
        </w:tc>
      </w:tr>
    </w:tbl>
    <w:p>
      <w:r>
        <w:br w:type="page"/>
      </w:r>
    </w:p>
    <w:p>
      <w:pPr>
        <w:pStyle w:val="Heading2"/>
      </w:pPr>
      <w:r>
        <w:t xml:space="preserve">21.1 Document-AI — OCR, extraction &amp; classification</w:t>
      </w:r>
    </w:p>
    <w:p>
      <w:pPr>
        <w:spacing w:after="140" w:line="276"/>
      </w:pPr>
      <w:r>
        <w:t xml:space="preserve">SAMA competes on a concrete, visible capability: it reads and classifies uploaded documents with OCR and computer vision, and supports document-led case filing. For the NBFC pillar — where a bulk batch can carry thousands of loan documents — this is the difference between ‘we have AI’ and ‘we processed your 1,200 documents automatically’. v1.3 makes document-AI a first-class part of intake, building on the AI-governance and grounding layers (§19.3, §20.9), and therefore advisory and human-reviewable by construction.</w:t>
      </w:r>
    </w:p>
    <w:p>
      <w:pPr>
        <w:pStyle w:val="ListParagraph"/>
        <w:numPr>
          <w:ilvl w:val="0"/>
          <w:numId w:val="2"/>
        </w:numPr>
        <w:spacing w:after="60" w:line="270"/>
      </w:pPr>
      <w:r>
        <w:rPr>
          <w:b/>
          <w:bCs/>
        </w:rPr>
        <w:t xml:space="preserve">Build: </w:t>
      </w:r>
      <w:r>
        <w:t xml:space="preserve">a document_ai service (document_ai_jobs, extracted_fields) that, on upload, performs OCR, classifies the document type (loan agreement, statement, KYC, notice), and extracts key fields (amounts, dates, parties, account IDs) into structured data for review.</w:t>
      </w:r>
    </w:p>
    <w:p>
      <w:pPr>
        <w:pStyle w:val="ListParagraph"/>
        <w:numPr>
          <w:ilvl w:val="0"/>
          <w:numId w:val="2"/>
        </w:numPr>
        <w:spacing w:after="60" w:line="270"/>
      </w:pPr>
      <w:r>
        <w:rPr>
          <w:b/>
          <w:bCs/>
        </w:rPr>
        <w:t xml:space="preserve">Document-led filing: </w:t>
      </w:r>
      <w:r>
        <w:t xml:space="preserve">a party or lender can drop documents and have the case pre-populated from them, with the case manager confirming — a major throughput win for bulk NBFC intake.</w:t>
      </w:r>
    </w:p>
    <w:p>
      <w:pPr>
        <w:pStyle w:val="ListParagraph"/>
        <w:numPr>
          <w:ilvl w:val="0"/>
          <w:numId w:val="2"/>
        </w:numPr>
        <w:spacing w:after="60" w:line="270"/>
      </w:pPr>
      <w:r>
        <w:rPr>
          <w:b/>
          <w:bCs/>
        </w:rPr>
        <w:t xml:space="preserve">Governed: </w:t>
      </w:r>
      <w:r>
        <w:t xml:space="preserve">extraction is advisory; confidence scores gate auto-population; low-confidence fields are flagged for human entry; all outputs carry provenance (§19.3).</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7ED" w:sz="1"/>
              <w:left w:val="single" w:color="B45309" w:sz="24"/>
              <w:bottom w:val="single" w:color="FFF7ED" w:sz="1"/>
              <w:right w:val="single" w:color="FFF7ED" w:sz="1"/>
            </w:tcBorders>
            <w:shd w:fill="FFF7ED" w:val="clear"/>
            <w:tcMar>
              <w:top w:type="dxa" w:w="120"/>
              <w:left w:type="dxa" w:w="160"/>
              <w:bottom w:type="dxa" w:w="120"/>
              <w:right w:type="dxa" w:w="160"/>
            </w:tcMar>
          </w:tcPr>
          <w:p>
            <w:pPr>
              <w:spacing w:after="60"/>
            </w:pPr>
            <w:r>
              <w:rPr>
                <w:b/>
                <w:bCs/>
                <w:color w:val="0B2A4A"/>
                <w:sz w:val="20"/>
                <w:szCs w:val="20"/>
              </w:rPr>
              <w:t xml:space="preserve">Why it matters</w:t>
            </w:r>
          </w:p>
          <w:p>
            <w:pPr>
              <w:spacing w:after="0"/>
            </w:pPr>
            <w:r>
              <w:rPr>
                <w:color w:val="1F2937"/>
                <w:sz w:val="19"/>
                <w:szCs w:val="19"/>
              </w:rPr>
              <w:t xml:space="preserve">This is the parity move that makes the NBFC pillar competitive with SAMA. Without document-AI, Equator's bulk intake is mechanically inferior; with it (plus transparent pricing and a warm lender design-partner), the wedge is real.</w:t>
            </w:r>
          </w:p>
        </w:tc>
      </w:tr>
    </w:tbl>
    <w:p>
      <w:r>
        <w:br w:type="page"/>
      </w:r>
    </w:p>
    <w:p>
      <w:pPr>
        <w:pStyle w:val="Heading2"/>
      </w:pPr>
      <w:r>
        <w:t xml:space="preserve">21.2 Named sector rulebooks</w:t>
      </w:r>
    </w:p>
    <w:p>
      <w:pPr>
        <w:spacing w:after="140" w:line="276"/>
      </w:pPr>
      <w:r>
        <w:t xml:space="preserve">CORD packages its configurability as sector-specific rulebooks (NBFC, tenancy, employment, insurance, e-commerce, MSME, consumer, healthcare), which makes the abstract idea of ‘configurable rulesets’ tangible and saleable. Equator already has the configuration plane (§5.2) and ruleset versioning (§19.5); v1.3 productises it as a library of named rulebooks.</w:t>
      </w:r>
    </w:p>
    <w:p>
      <w:pPr>
        <w:pStyle w:val="ListParagraph"/>
        <w:numPr>
          <w:ilvl w:val="0"/>
          <w:numId w:val="2"/>
        </w:numPr>
        <w:spacing w:after="60" w:line="270"/>
      </w:pPr>
      <w:r>
        <w:rPr>
          <w:b/>
          <w:bCs/>
        </w:rPr>
        <w:t xml:space="preserve">Build: </w:t>
      </w:r>
      <w:r>
        <w:t xml:space="preserve">a sector_rulebooks catalogue — each rulebook is a curated, named bundle of ruleset + clause templates + fee schedule + workflow tuned for a sector, versioned like any ruleset.</w:t>
      </w:r>
    </w:p>
    <w:p>
      <w:pPr>
        <w:pStyle w:val="ListParagraph"/>
        <w:numPr>
          <w:ilvl w:val="0"/>
          <w:numId w:val="2"/>
        </w:numPr>
        <w:spacing w:after="60" w:line="270"/>
      </w:pPr>
      <w:r>
        <w:rPr>
          <w:b/>
          <w:bCs/>
        </w:rPr>
        <w:t xml:space="preserve">Launch set: </w:t>
      </w:r>
      <w:r>
        <w:t xml:space="preserve">NBFC/lending, tenancy/housing-society, workplace/POSH, MSME payments, consumer, insurance — mirroring the sectors the market already validates.</w:t>
      </w:r>
    </w:p>
    <w:p>
      <w:pPr>
        <w:pStyle w:val="ListParagraph"/>
        <w:numPr>
          <w:ilvl w:val="0"/>
          <w:numId w:val="2"/>
        </w:numPr>
        <w:spacing w:after="60" w:line="270"/>
      </w:pPr>
      <w:r>
        <w:rPr>
          <w:b/>
          <w:bCs/>
        </w:rPr>
        <w:t xml:space="preserve">Sales value: </w:t>
      </w:r>
      <w:r>
        <w:t xml:space="preserve">a buyer hears ‘we have a ready NBFC rulebook’, not ‘our rulesets are configurable’ — concrete, faster to adopt, easier to trust.</w:t>
      </w:r>
    </w:p>
    <w:p>
      <w:pPr>
        <w:spacing w:after="80"/>
      </w:pPr>
      <w:r>
        <w:t xml:space="preserve"/>
      </w:r>
    </w:p>
    <w:p>
      <w:pPr>
        <w:pStyle w:val="Heading2"/>
      </w:pPr>
      <w:r>
        <w:t xml:space="preserve">21.3 ‘First award upheld in court’ — a trust milestone</w:t>
      </w:r>
    </w:p>
    <w:p>
      <w:pPr>
        <w:spacing w:after="140" w:line="276"/>
      </w:pPr>
      <w:r>
        <w:t xml:space="preserve">CORD's strongest credibility signal is that an online arbitral award administered on its platform was upheld by a court. In this market, enforceability-in-practice is the trust currency. v1.3 makes this an explicit, tracked milestone rather than a hoped-for outcome.</w:t>
      </w:r>
    </w:p>
    <w:p>
      <w:pPr>
        <w:pStyle w:val="ListParagraph"/>
        <w:numPr>
          <w:ilvl w:val="0"/>
          <w:numId w:val="2"/>
        </w:numPr>
        <w:spacing w:after="60" w:line="270"/>
      </w:pPr>
      <w:r>
        <w:rPr>
          <w:b/>
          <w:bCs/>
        </w:rPr>
        <w:t xml:space="preserve">Treat as a GTM milestone: </w:t>
      </w:r>
      <w:r>
        <w:t xml:space="preserve">instrument the path to the first contested-then-upheld award; when it lands, it is a primary PR and sales moment (and a recurring metric thereafter — challenge rate, upheld rate).</w:t>
      </w:r>
    </w:p>
    <w:p>
      <w:pPr>
        <w:pStyle w:val="ListParagraph"/>
        <w:numPr>
          <w:ilvl w:val="0"/>
          <w:numId w:val="2"/>
        </w:numPr>
        <w:spacing w:after="60" w:line="270"/>
      </w:pPr>
      <w:r>
        <w:rPr>
          <w:b/>
          <w:bCs/>
        </w:rPr>
        <w:t xml:space="preserve">Build (light): </w:t>
      </w:r>
      <w:r>
        <w:t xml:space="preserve">a trust_milestones record (and the existing quality_metrics / neutral_scorecards, §19.12) capture set-aside vs upheld outcomes so the claim is evidenced, not asserted.</w:t>
      </w:r>
    </w:p>
    <w:p>
      <w:pPr>
        <w:pStyle w:val="ListParagraph"/>
        <w:numPr>
          <w:ilvl w:val="0"/>
          <w:numId w:val="2"/>
        </w:numPr>
        <w:spacing w:after="60" w:line="270"/>
      </w:pPr>
      <w:r>
        <w:rPr>
          <w:b/>
          <w:bCs/>
        </w:rPr>
        <w:t xml:space="preserve">Reinforced by: </w:t>
      </w:r>
      <w:r>
        <w:t xml:space="preserve">the service-of-process certificates (§19.4) and tamper-evident audit (§9.5) that make Equator's awards hard to set aside in the first place.</w:t>
      </w:r>
    </w:p>
    <w:p>
      <w:pPr>
        <w:spacing w:after="80"/>
      </w:pPr>
      <w:r>
        <w:t xml:space="preserve"/>
      </w:r>
    </w:p>
    <w:p>
      <w:pPr>
        <w:pStyle w:val="Heading2"/>
      </w:pPr>
      <w:r>
        <w:t xml:space="preserve">21.4 Lok Adalat-as-a-Service / government channel</w:t>
      </w:r>
    </w:p>
    <w:p>
      <w:pPr>
        <w:spacing w:after="140" w:line="276"/>
      </w:pPr>
      <w:r>
        <w:t xml:space="preserve">Jupitice has opened a large, defensible volume channel: ‘Lok Adalat as a Service’, running Digital Lok Adalats for states (Rajasthan, Maharashtra) with NALSA/SLSA backing. A Lok Adalat award is final and deemed a civil-court decree (no appeal), making it a powerful mass-settlement instrument. v1.3 adds this as an optional pillar — a deliberate decision to contest the channel — building on the interoperability and reporting layers (§19.11, §20.8).</w:t>
      </w:r>
    </w:p>
    <w:p>
      <w:pPr>
        <w:pStyle w:val="ListParagraph"/>
        <w:numPr>
          <w:ilvl w:val="0"/>
          <w:numId w:val="2"/>
        </w:numPr>
        <w:spacing w:after="60" w:line="270"/>
      </w:pPr>
      <w:r>
        <w:rPr>
          <w:b/>
          <w:bCs/>
        </w:rPr>
        <w:t xml:space="preserve">Build: </w:t>
      </w:r>
      <w:r>
        <w:t xml:space="preserve">a Lok Adalat module (lok_adalat_events) for bulk, scheduled settlement drives — mass case loading, panel/bench constitution, settlement-at-scale capture, and award generation with the finality treatment Lok Adalat awards carry.</w:t>
      </w:r>
    </w:p>
    <w:p>
      <w:pPr>
        <w:pStyle w:val="ListParagraph"/>
        <w:numPr>
          <w:ilvl w:val="0"/>
          <w:numId w:val="2"/>
        </w:numPr>
        <w:spacing w:after="60" w:line="270"/>
      </w:pPr>
      <w:r>
        <w:rPr>
          <w:b/>
          <w:bCs/>
        </w:rPr>
        <w:t xml:space="preserve">Integration: </w:t>
      </w:r>
      <w:r>
        <w:t xml:space="preserve">NALSA / State Legal Services Authority interoperability via the interop adapters (§19.11); this is also a natural home for high-volume NBFC settlement.</w:t>
      </w:r>
    </w:p>
    <w:p>
      <w:pPr>
        <w:pStyle w:val="ListParagraph"/>
        <w:numPr>
          <w:ilvl w:val="0"/>
          <w:numId w:val="2"/>
        </w:numPr>
        <w:spacing w:after="60" w:line="270"/>
      </w:pPr>
      <w:r>
        <w:rPr>
          <w:b/>
          <w:bCs/>
        </w:rPr>
        <w:t xml:space="preserve">Strategic note: </w:t>
      </w:r>
      <w:r>
        <w:t xml:space="preserve">this is a pillar-level commitment, not a small feature — pursue it only if the government channel is a chosen battleground; otherwise note it as a known, deferred opportunity.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8FB" w:sz="1"/>
              <w:left w:val="single" w:color="1F6FB2" w:sz="24"/>
              <w:bottom w:val="single" w:color="F4F8FB" w:sz="1"/>
              <w:right w:val="single" w:color="F4F8FB" w:sz="1"/>
            </w:tcBorders>
            <w:shd w:fill="F4F8FB" w:val="clear"/>
            <w:tcMar>
              <w:top w:type="dxa" w:w="120"/>
              <w:left w:type="dxa" w:w="160"/>
              <w:bottom w:type="dxa" w:w="120"/>
              <w:right w:type="dxa" w:w="160"/>
            </w:tcMar>
          </w:tcPr>
          <w:p>
            <w:pPr>
              <w:spacing w:after="60"/>
            </w:pPr>
            <w:r>
              <w:rPr>
                <w:b/>
                <w:bCs/>
                <w:color w:val="0B2A4A"/>
                <w:sz w:val="20"/>
                <w:szCs w:val="20"/>
              </w:rPr>
              <w:t xml:space="preserve">Decision required</w:t>
            </w:r>
          </w:p>
          <w:p>
            <w:pPr>
              <w:spacing w:after="0"/>
            </w:pPr>
            <w:r>
              <w:rPr>
                <w:color w:val="1F2937"/>
                <w:sz w:val="19"/>
                <w:szCs w:val="19"/>
              </w:rPr>
              <w:t xml:space="preserve">The government / Lok Adalat channel is real volume and a real moat for whoever owns it (currently Jupitice). Equator should make a conscious build-or-defer decision here rather than drift — the architecture supports it, but it warrants its own GTM and partnership investment.</w:t>
            </w:r>
          </w:p>
        </w:tc>
      </w:tr>
    </w:tbl>
    <w:p>
      <w:r>
        <w:br w:type="page"/>
      </w:r>
    </w:p>
    <w:p>
      <w:pPr>
        <w:pStyle w:val="Heading2"/>
      </w:pPr>
      <w:r>
        <w:t xml:space="preserve">21.5 Transparent published pricing (rate card)</w:t>
      </w:r>
    </w:p>
    <w:p>
      <w:pPr>
        <w:spacing w:after="140" w:line="276"/>
      </w:pPr>
      <w:r>
        <w:t xml:space="preserve">Every Indian competitor uses opaque, quote-based pricing (Presolv360 explicitly; others by default). That opacity is friction — especially for NBFCs and MSMEs that dislike procurement back-and-forth. v1.3 turns transparency into a wedge.</w:t>
      </w:r>
    </w:p>
    <w:p>
      <w:pPr>
        <w:pStyle w:val="ListParagraph"/>
        <w:numPr>
          <w:ilvl w:val="0"/>
          <w:numId w:val="2"/>
        </w:numPr>
        <w:spacing w:after="60" w:line="270"/>
      </w:pPr>
      <w:r>
        <w:rPr>
          <w:b/>
          <w:bCs/>
        </w:rPr>
        <w:t xml:space="preserve">Build: </w:t>
      </w:r>
      <w:r>
        <w:t xml:space="preserve">a published rate_cards model — clear, public fees (per-case conciliation fee, success-fee tiers, bulk rates) by pillar and sector rulebook, surfaced on the platform and in the API.</w:t>
      </w:r>
    </w:p>
    <w:p>
      <w:pPr>
        <w:pStyle w:val="ListParagraph"/>
        <w:numPr>
          <w:ilvl w:val="0"/>
          <w:numId w:val="2"/>
        </w:numPr>
        <w:spacing w:after="60" w:line="270"/>
      </w:pPr>
      <w:r>
        <w:rPr>
          <w:b/>
          <w:bCs/>
        </w:rPr>
        <w:t xml:space="preserve">Consistency: </w:t>
      </w:r>
      <w:r>
        <w:t xml:space="preserve">the rate card is the same data that drives the financial model's per-case fees (DOC-15) — pricing the platform charges and pricing the model assumes are one source of truth.</w:t>
      </w:r>
    </w:p>
    <w:p>
      <w:pPr>
        <w:pStyle w:val="ListParagraph"/>
        <w:numPr>
          <w:ilvl w:val="0"/>
          <w:numId w:val="2"/>
        </w:numPr>
        <w:spacing w:after="60" w:line="270"/>
      </w:pPr>
      <w:r>
        <w:rPr>
          <w:b/>
          <w:bCs/>
        </w:rPr>
        <w:t xml:space="preserve">Positioning: </w:t>
      </w:r>
      <w:r>
        <w:t xml:space="preserve">‘know your cost before you file’ is a differentiator no incumbent currently offers, and it shortens the NBFC/MSME sales cycle.</w:t>
      </w:r>
    </w:p>
    <w:p>
      <w:pPr>
        <w:spacing w:after="80"/>
      </w:pPr>
      <w:r>
        <w:t xml:space="preserve"/>
      </w:r>
    </w:p>
    <w:p>
      <w:pPr>
        <w:pStyle w:val="Heading2"/>
      </w:pPr>
      <w:r>
        <w:t xml:space="preserve">21.6 AI-facilitated settlement (money pillars)</w:t>
      </w:r>
    </w:p>
    <w:p>
      <w:pPr>
        <w:spacing w:after="140" w:line="276"/>
      </w:pPr>
      <w:r>
        <w:t xml:space="preserve">Globally, the frontier is AI-powered settlement (Smartsettle, Immediation), now tracked by analysts as its own category. Equator's ‘advisory-only’ stance is correct for adjudication — AI must never decide an award — but it should lean in for facilitated settlement of money claims, where the parties still consent. This is both competitive parity with the global frontier and a throughput win for high-volume NBFC matters.</w:t>
      </w:r>
    </w:p>
    <w:p>
      <w:pPr>
        <w:pStyle w:val="ListParagraph"/>
        <w:numPr>
          <w:ilvl w:val="0"/>
          <w:numId w:val="2"/>
        </w:numPr>
        <w:spacing w:after="60" w:line="270"/>
      </w:pPr>
      <w:r>
        <w:rPr>
          <w:b/>
          <w:bCs/>
        </w:rPr>
        <w:t xml:space="preserve">Build: </w:t>
      </w:r>
      <w:r>
        <w:t xml:space="preserve">a settlement-negotiation engine (settlement_negotiations, settlement_bids) supporting blind-bidding, AI settlement-range suggestion, and — for small-value NBFC claims within configured bounds — auto-settlement on mutual acceptance.</w:t>
      </w:r>
    </w:p>
    <w:p>
      <w:pPr>
        <w:pStyle w:val="ListParagraph"/>
        <w:numPr>
          <w:ilvl w:val="0"/>
          <w:numId w:val="2"/>
        </w:numPr>
        <w:spacing w:after="60" w:line="270"/>
      </w:pPr>
      <w:r>
        <w:rPr>
          <w:b/>
          <w:bCs/>
        </w:rPr>
        <w:t xml:space="preserve">The safety line: </w:t>
      </w:r>
      <w:r>
        <w:t xml:space="preserve">AI facilitates and suggests; the parties accept or reject; nothing binds without consent. This keeps adjudication human (§19.3) while automating the part that is safe to automate.</w:t>
      </w:r>
    </w:p>
    <w:p>
      <w:pPr>
        <w:pStyle w:val="ListParagraph"/>
        <w:numPr>
          <w:ilvl w:val="0"/>
          <w:numId w:val="2"/>
        </w:numPr>
        <w:spacing w:after="60" w:line="270"/>
      </w:pPr>
      <w:r>
        <w:rPr>
          <w:b/>
          <w:bCs/>
        </w:rPr>
        <w:t xml:space="preserve">Where it shines: </w:t>
      </w:r>
      <w:r>
        <w:t xml:space="preserve">NBFC conciliation at volume — many small, monetisable claims that settle far faster with a suggested range than with manual back-and-forth.</w:t>
      </w:r>
    </w:p>
    <w:p>
      <w:pPr>
        <w:spacing w:after="80"/>
      </w:pPr>
      <w:r>
        <w:t xml:space="preserve"/>
      </w:r>
    </w:p>
    <w:p>
      <w:pPr>
        <w:pStyle w:val="Heading2"/>
      </w:pPr>
      <w:r>
        <w:t xml:space="preserve">21.7 Academy-as-empanelment-funnel &amp; GTM sequencing</w:t>
      </w:r>
    </w:p>
    <w:p>
      <w:pPr>
        <w:spacing w:after="140" w:line="276"/>
      </w:pPr>
      <w:r>
        <w:t xml:space="preserve">Two strategic corrections the competition makes necessary. First, the Academy must be a funnel, not a standalone course: Presolv360 already runs ODR training, and Equator will not win a pure-education race against an incumbent brand. Second, the breadth that is Equator's moat is also a trap if pursued all at once — the discipline is to win one lane decisively before spreading.</w:t>
      </w:r>
    </w:p>
    <w:p>
      <w:pPr>
        <w:pStyle w:val="Heading3"/>
      </w:pPr>
      <w:r>
        <w:t xml:space="preserve">21.7.1 Academy as the on-ramp to empanelment</w:t>
      </w:r>
    </w:p>
    <w:p>
      <w:pPr>
        <w:pStyle w:val="ListParagraph"/>
        <w:numPr>
          <w:ilvl w:val="0"/>
          <w:numId w:val="2"/>
        </w:numPr>
        <w:spacing w:after="60" w:line="270"/>
      </w:pPr>
      <w:r>
        <w:rPr>
          <w:b/>
          <w:bCs/>
        </w:rPr>
        <w:t xml:space="preserve">Reposition: </w:t>
      </w:r>
      <w:r>
        <w:t xml:space="preserve">the Academy's purpose is supply — train → certify → empanel → receive live cases on Equator's rails. The integration with the neutral lifecycle and CPD records (§20.3) is the thing a standalone training arm does not own.</w:t>
      </w:r>
    </w:p>
    <w:p>
      <w:pPr>
        <w:pStyle w:val="ListParagraph"/>
        <w:numPr>
          <w:ilvl w:val="0"/>
          <w:numId w:val="2"/>
        </w:numPr>
        <w:spacing w:after="60" w:line="270"/>
      </w:pPr>
      <w:r>
        <w:rPr>
          <w:b/>
          <w:bCs/>
        </w:rPr>
        <w:t xml:space="preserve">Measure it as a funnel: </w:t>
      </w:r>
      <w:r>
        <w:t xml:space="preserve">learners → certified → applied for empanelment → empanelled → active, not just course revenue.</w:t>
      </w:r>
    </w:p>
    <w:p>
      <w:pPr>
        <w:pStyle w:val="Heading3"/>
      </w:pPr>
      <w:r>
        <w:t xml:space="preserve">21.7.2 Sequencing — win one lane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3360"/>
        <w:gridCol w:w="2300"/>
      </w:tblGrid>
      <w:tr>
        <w:trPr>
          <w:tblHeader/>
        </w:trPr>
        <w:tc>
          <w:tcPr>
            <w:tcW w:type="dxa" w:w="8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5"/>
                <w:szCs w:val="15"/>
              </w:rPr>
              <w:t xml:space="preserve">Phase</w:t>
            </w:r>
          </w:p>
        </w:tc>
        <w:tc>
          <w:tcPr>
            <w:tcW w:type="dxa" w:w="29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5"/>
                <w:szCs w:val="15"/>
              </w:rPr>
              <w:t xml:space="preserve">Lane to win</w:t>
            </w:r>
          </w:p>
        </w:tc>
        <w:tc>
          <w:tcPr>
            <w:tcW w:type="dxa" w:w="336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5"/>
                <w:szCs w:val="15"/>
              </w:rPr>
              <w:t xml:space="preserve">Why first</w:t>
            </w:r>
          </w:p>
        </w:tc>
        <w:tc>
          <w:tcPr>
            <w:tcW w:type="dxa" w:w="23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5"/>
                <w:szCs w:val="15"/>
              </w:rPr>
              <w:t xml:space="preserve">Against</w:t>
            </w:r>
          </w:p>
        </w:tc>
      </w:tr>
      <w:tr>
        <w:tc>
          <w:tcPr>
            <w:tcW w:type="dxa" w:w="8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1</w:t>
            </w:r>
          </w:p>
        </w:tc>
        <w:tc>
          <w:tcPr>
            <w:tcW w:type="dxa" w:w="29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Embedded NBFC volume</w:t>
            </w:r>
          </w:p>
        </w:tc>
        <w:tc>
          <w:tcPr>
            <w:tcW w:type="dxa" w:w="33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Mandated demand (RBI/NPCI); clause-driven; one lender = many cases</w:t>
            </w:r>
          </w:p>
        </w:tc>
        <w:tc>
          <w:tcPr>
            <w:tcW w:type="dxa" w:w="23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SAMA</w:t>
            </w:r>
          </w:p>
        </w:tc>
      </w:tr>
      <w:tr>
        <w:tc>
          <w:tcPr>
            <w:tcW w:type="dxa" w:w="8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2</w:t>
            </w:r>
          </w:p>
        </w:tc>
        <w:tc>
          <w:tcPr>
            <w:tcW w:type="dxa" w:w="29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Securities / commercial credibility</w:t>
            </w:r>
          </w:p>
        </w:tc>
        <w:tc>
          <w:tcPr>
            <w:tcW w:type="dxa" w:w="33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Court-upheld award + sector rulebooks build trust</w:t>
            </w:r>
          </w:p>
        </w:tc>
        <w:tc>
          <w:tcPr>
            <w:tcW w:type="dxa" w:w="23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CORD / Presolv360</w:t>
            </w:r>
          </w:p>
        </w:tc>
      </w:tr>
      <w:tr>
        <w:tc>
          <w:tcPr>
            <w:tcW w:type="dxa" w:w="8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3</w:t>
            </w:r>
          </w:p>
        </w:tc>
        <w:tc>
          <w:tcPr>
            <w:tcW w:type="dxa" w:w="29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Trust segments (family, POSH)</w:t>
            </w:r>
          </w:p>
        </w:tc>
        <w:tc>
          <w:tcPr>
            <w:tcW w:type="dxa" w:w="33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Underserved; high-trust; hard to copy from volume</w:t>
            </w:r>
          </w:p>
        </w:tc>
        <w:tc>
          <w:tcPr>
            <w:tcW w:type="dxa" w:w="23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(largely open)</w:t>
            </w:r>
          </w:p>
        </w:tc>
      </w:tr>
      <w:tr>
        <w:tc>
          <w:tcPr>
            <w:tcW w:type="dxa" w:w="8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4</w:t>
            </w:r>
          </w:p>
        </w:tc>
        <w:tc>
          <w:tcPr>
            <w:tcW w:type="dxa" w:w="29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Private Court + Academy flywheel</w:t>
            </w:r>
          </w:p>
        </w:tc>
        <w:tc>
          <w:tcPr>
            <w:tcW w:type="dxa" w:w="33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Supply moat; recurring SaaS</w:t>
            </w:r>
          </w:p>
        </w:tc>
        <w:tc>
          <w:tcPr>
            <w:tcW w:type="dxa" w:w="23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4"/>
                <w:szCs w:val="14"/>
              </w:rPr>
              <w:t xml:space="preserve">Jupitice</w:t>
            </w:r>
          </w:p>
        </w:tc>
      </w:tr>
      <w:tr>
        <w:tc>
          <w:tcPr>
            <w:tcW w:type="dxa" w:w="8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5</w:t>
            </w:r>
          </w:p>
        </w:tc>
        <w:tc>
          <w:tcPr>
            <w:tcW w:type="dxa" w:w="29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Government / Lok Adalat (if chosen)</w:t>
            </w:r>
          </w:p>
        </w:tc>
        <w:tc>
          <w:tcPr>
            <w:tcW w:type="dxa" w:w="33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Large channel; deliberate decision</w:t>
            </w:r>
          </w:p>
        </w:tc>
        <w:tc>
          <w:tcPr>
            <w:tcW w:type="dxa" w:w="23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4"/>
                <w:szCs w:val="14"/>
              </w:rPr>
              <w:t xml:space="preserve">Jupitice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F4EA" w:sz="1"/>
              <w:left w:val="single" w:color="1E7D34" w:sz="24"/>
              <w:bottom w:val="single" w:color="E6F4EA" w:sz="1"/>
              <w:right w:val="single" w:color="E6F4EA" w:sz="1"/>
            </w:tcBorders>
            <w:shd w:fill="E6F4EA" w:val="clear"/>
            <w:tcMar>
              <w:top w:type="dxa" w:w="120"/>
              <w:left w:type="dxa" w:w="160"/>
              <w:bottom w:type="dxa" w:w="120"/>
              <w:right w:type="dxa" w:w="160"/>
            </w:tcMar>
          </w:tcPr>
          <w:p>
            <w:pPr>
              <w:spacing w:after="60"/>
            </w:pPr>
            <w:r>
              <w:rPr>
                <w:b/>
                <w:bCs/>
                <w:color w:val="0B2A4A"/>
                <w:sz w:val="20"/>
                <w:szCs w:val="20"/>
              </w:rPr>
              <w:t xml:space="preserve">The one-line strategy</w:t>
            </w:r>
          </w:p>
          <w:p>
            <w:pPr>
              <w:spacing w:after="0"/>
            </w:pPr>
            <w:r>
              <w:rPr>
                <w:color w:val="1F2937"/>
                <w:sz w:val="19"/>
                <w:szCs w:val="19"/>
              </w:rPr>
              <w:t xml:space="preserve">Win the embedded-NBFC lane decisively first — with document-AI parity, a named NBFC rulebook, transparent pricing and AI-facilitated settlement, anchored by a warm lender design-partner — earn a court-upheld award as the trust milestone, then let the multi-segment breadth compound. Parity across all lanes at once is how a generalist loses to four specialists; sequencing is how breadth eventually wins.</w:t>
            </w:r>
          </w:p>
        </w:tc>
      </w:tr>
    </w:tbl>
    <w:p>
      <w:pPr>
        <w:spacing w:after="80"/>
      </w:pPr>
      <w:r>
        <w:t xml:space="preserve"/>
      </w:r>
    </w:p>
    <w:p>
      <w:pPr>
        <w:pStyle w:val="Heading2"/>
      </w:pPr>
      <w:r>
        <w:t xml:space="preserve">21.8 New tables added to the Forms &amp; Database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6"/>
                <w:szCs w:val="16"/>
              </w:rPr>
              <w:t xml:space="preserve">Enhancement</w:t>
            </w:r>
          </w:p>
        </w:tc>
        <w:tc>
          <w:tcPr>
            <w:tcW w:type="dxa" w:w="606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6"/>
                <w:szCs w:val="16"/>
              </w:rPr>
              <w:t xml:space="preserve">New tables</w:t>
            </w:r>
          </w:p>
        </w:tc>
      </w:tr>
      <w:tr>
        <w:tc>
          <w:tcPr>
            <w:tcW w:type="dxa" w:w="33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21.1 Document-AI</w:t>
            </w:r>
          </w:p>
        </w:tc>
        <w:tc>
          <w:tcPr>
            <w:tcW w:type="dxa" w:w="60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document_ai_jobs, extracted_fields</w:t>
            </w:r>
          </w:p>
        </w:tc>
      </w:tr>
      <w:tr>
        <w:tc>
          <w:tcPr>
            <w:tcW w:type="dxa" w:w="33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21.2 Sector rulebooks</w:t>
            </w:r>
          </w:p>
        </w:tc>
        <w:tc>
          <w:tcPr>
            <w:tcW w:type="dxa" w:w="60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sector_rulebooks</w:t>
            </w:r>
          </w:p>
        </w:tc>
      </w:tr>
      <w:tr>
        <w:tc>
          <w:tcPr>
            <w:tcW w:type="dxa" w:w="33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21.3 Trust milestone</w:t>
            </w:r>
          </w:p>
        </w:tc>
        <w:tc>
          <w:tcPr>
            <w:tcW w:type="dxa" w:w="60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trust_milestones</w:t>
            </w:r>
          </w:p>
        </w:tc>
      </w:tr>
      <w:tr>
        <w:tc>
          <w:tcPr>
            <w:tcW w:type="dxa" w:w="33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21.4 Lok Adalat</w:t>
            </w:r>
          </w:p>
        </w:tc>
        <w:tc>
          <w:tcPr>
            <w:tcW w:type="dxa" w:w="60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lok_adalat_events, lok_adalat_cases</w:t>
            </w:r>
          </w:p>
        </w:tc>
      </w:tr>
      <w:tr>
        <w:tc>
          <w:tcPr>
            <w:tcW w:type="dxa" w:w="33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21.5 Transparent pricing</w:t>
            </w:r>
          </w:p>
        </w:tc>
        <w:tc>
          <w:tcPr>
            <w:tcW w:type="dxa" w:w="60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rate_cards, rate_card_items</w:t>
            </w:r>
          </w:p>
        </w:tc>
      </w:tr>
      <w:tr>
        <w:tc>
          <w:tcPr>
            <w:tcW w:type="dxa" w:w="33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21.6 AI-facilitated settlement</w:t>
            </w:r>
          </w:p>
        </w:tc>
        <w:tc>
          <w:tcPr>
            <w:tcW w:type="dxa" w:w="60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settlement_negotiations, settlement_bids</w:t>
            </w:r>
          </w:p>
        </w:tc>
      </w:tr>
      <w:tr>
        <w:tc>
          <w:tcPr>
            <w:tcW w:type="dxa" w:w="33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21.7 Academy funnel</w:t>
            </w:r>
          </w:p>
        </w:tc>
        <w:tc>
          <w:tcPr>
            <w:tcW w:type="dxa" w:w="60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(uses academy + neutral_lifecycle; funnel view)</w:t>
            </w:r>
          </w:p>
        </w:tc>
      </w:tr>
    </w:tbl>
    <w:p>
      <w:pPr>
        <w:spacing w:after="80"/>
      </w:pPr>
      <w:r>
        <w:t xml:space="preserve"/>
      </w:r>
    </w:p>
    <w:p>
      <w:pPr>
        <w:spacing w:after="140" w:line="276"/>
      </w:pPr>
      <w:r>
        <w:rPr>
          <w:i/>
          <w:iCs/>
          <w:color w:val="6B7280"/>
        </w:rPr>
        <w:t xml:space="preserve">End of Section 21. With the v1.3 set the architecture answers not only ‘is the outcome valid, compliant and production-robust?’ (v1.1/v1.2) but ‘how does Equator win against the specific competitors in the market today?’.</w:t>
      </w:r>
    </w:p>
    <w:p>
      <w:r>
        <w:br w:type="page"/>
      </w:r>
    </w:p>
    <w:p>
      <w:pPr>
        <w:pStyle w:val="Heading1"/>
      </w:pPr>
      <w:r>
        <w:t xml:space="preserve">22. Appendices</w:t>
      </w:r>
    </w:p>
    <w:p>
      <w:pPr>
        <w:pStyle w:val="Heading2"/>
      </w:pPr>
      <w:r>
        <w:t xml:space="preserve">22.1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7"/>
                <w:szCs w:val="17"/>
              </w:rPr>
              <w:t xml:space="preserve">Term</w:t>
            </w:r>
          </w:p>
        </w:tc>
        <w:tc>
          <w:tcPr>
            <w:tcW w:type="dxa" w:w="726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7"/>
                <w:szCs w:val="17"/>
              </w:rPr>
              <w:t xml:space="preserve">Meaning</w:t>
            </w:r>
          </w:p>
        </w:tc>
      </w:tr>
      <w:tr>
        <w:tc>
          <w:tcPr>
            <w:tcW w:type="dxa" w:w="21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ODR</w:t>
            </w:r>
          </w:p>
        </w:tc>
        <w:tc>
          <w:tcPr>
            <w:tcW w:type="dxa" w:w="72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Online Dispute Resolution — resolving disputes via digital negotiation, mediation, conciliation, arbitration.</w:t>
            </w:r>
          </w:p>
        </w:tc>
      </w:tr>
      <w:tr>
        <w:tc>
          <w:tcPr>
            <w:tcW w:type="dxa" w:w="21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EDRS</w:t>
            </w:r>
          </w:p>
        </w:tc>
        <w:tc>
          <w:tcPr>
            <w:tcW w:type="dxa" w:w="72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Equator Dispute Resolution Services — Equator's first-party (captive) institution.</w:t>
            </w:r>
          </w:p>
        </w:tc>
      </w:tr>
      <w:tr>
        <w:tc>
          <w:tcPr>
            <w:tcW w:type="dxa" w:w="21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Neutral</w:t>
            </w:r>
          </w:p>
        </w:tc>
        <w:tc>
          <w:tcPr>
            <w:tcW w:type="dxa" w:w="72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Umbrella term for arbitrator, mediator, or conciliator.</w:t>
            </w:r>
          </w:p>
        </w:tc>
      </w:tr>
      <w:tr>
        <w:tc>
          <w:tcPr>
            <w:tcW w:type="dxa" w:w="21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Private Court</w:t>
            </w:r>
          </w:p>
        </w:tc>
        <w:tc>
          <w:tcPr>
            <w:tcW w:type="dxa" w:w="72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Self-managed workspace for an independent neutral / institution on Equator's rails.</w:t>
            </w:r>
          </w:p>
        </w:tc>
      </w:tr>
      <w:tr>
        <w:tc>
          <w:tcPr>
            <w:tcW w:type="dxa" w:w="21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MSA</w:t>
            </w:r>
          </w:p>
        </w:tc>
        <w:tc>
          <w:tcPr>
            <w:tcW w:type="dxa" w:w="72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Mediated Settlement Agreement — enforceable as a decree under the Mediation Act 2023.</w:t>
            </w:r>
          </w:p>
        </w:tc>
      </w:tr>
      <w:tr>
        <w:tc>
          <w:tcPr>
            <w:tcW w:type="dxa" w:w="21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IC / LC</w:t>
            </w:r>
          </w:p>
        </w:tc>
        <w:tc>
          <w:tcPr>
            <w:tcW w:type="dxa" w:w="72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Internal Committee / Local Committee under the POSH Act.</w:t>
            </w:r>
          </w:p>
        </w:tc>
      </w:tr>
      <w:tr>
        <w:tc>
          <w:tcPr>
            <w:tcW w:type="dxa" w:w="21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Ruleset</w:t>
            </w:r>
          </w:p>
        </w:tc>
        <w:tc>
          <w:tcPr>
            <w:tcW w:type="dxa" w:w="72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Configurable bundle of timelines, fees, templates, panel rules per pillar / jurisdiction.</w:t>
            </w:r>
          </w:p>
        </w:tc>
      </w:tr>
      <w:tr>
        <w:tc>
          <w:tcPr>
            <w:tcW w:type="dxa" w:w="21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Confidentiality tier</w:t>
            </w:r>
          </w:p>
        </w:tc>
        <w:tc>
          <w:tcPr>
            <w:tcW w:type="dxa" w:w="72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Per-case sensitivity level (Standard / High / POSH) driving access &amp; encryption.</w:t>
            </w:r>
          </w:p>
        </w:tc>
      </w:tr>
      <w:tr>
        <w:tc>
          <w:tcPr>
            <w:tcW w:type="dxa" w:w="21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Escalation contract</w:t>
            </w:r>
          </w:p>
        </w:tc>
        <w:tc>
          <w:tcPr>
            <w:tcW w:type="dxa" w:w="72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Object governing data, consent &amp; confidentiality at a stage/domain hand-off (§19.1).</w:t>
            </w:r>
          </w:p>
        </w:tc>
      </w:tr>
      <w:tr>
        <w:tc>
          <w:tcPr>
            <w:tcW w:type="dxa" w:w="21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Conflicts graph</w:t>
            </w:r>
          </w:p>
        </w:tc>
        <w:tc>
          <w:tcPr>
            <w:tcW w:type="dxa" w:w="72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Linked model of neutral/party/counsel/firm relationships for COI checks (§19.2).</w:t>
            </w:r>
          </w:p>
        </w:tc>
      </w:tr>
      <w:tr>
        <w:tc>
          <w:tcPr>
            <w:tcW w:type="dxa" w:w="21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Service certificate</w:t>
            </w:r>
          </w:p>
        </w:tc>
        <w:tc>
          <w:tcPr>
            <w:tcW w:type="dxa" w:w="72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Immutable proof-of-service artefact attached to a case (§19.4).</w:t>
            </w:r>
          </w:p>
        </w:tc>
      </w:tr>
      <w:tr>
        <w:tc>
          <w:tcPr>
            <w:tcW w:type="dxa" w:w="21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Section 29A</w:t>
            </w:r>
          </w:p>
        </w:tc>
        <w:tc>
          <w:tcPr>
            <w:tcW w:type="dxa" w:w="72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6"/>
                <w:szCs w:val="16"/>
              </w:rPr>
              <w:t xml:space="preserve">A&amp;C Act provision setting time-limits for arbitral awards.</w:t>
            </w:r>
          </w:p>
        </w:tc>
      </w:tr>
      <w:tr>
        <w:tc>
          <w:tcPr>
            <w:tcW w:type="dxa" w:w="21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KYC / KYB</w:t>
            </w:r>
          </w:p>
        </w:tc>
        <w:tc>
          <w:tcPr>
            <w:tcW w:type="dxa" w:w="72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6"/>
                <w:szCs w:val="16"/>
              </w:rPr>
              <w:t xml:space="preserve">Know-Your-Customer / Know-Your-Business identity verification.</w:t>
            </w:r>
          </w:p>
        </w:tc>
      </w:tr>
    </w:tbl>
    <w:p>
      <w:pPr>
        <w:spacing w:after="80"/>
      </w:pPr>
      <w:r>
        <w:t xml:space="preserve"/>
      </w:r>
    </w:p>
    <w:p>
      <w:pPr>
        <w:pStyle w:val="Heading2"/>
      </w:pPr>
      <w:r>
        <w:t xml:space="preserve">22.2 Key sources &amp; references</w:t>
      </w:r>
    </w:p>
    <w:p>
      <w:pPr>
        <w:spacing w:after="140" w:line="276"/>
      </w:pPr>
      <w:r>
        <w:t xml:space="preserve">Primary and reference sources consulted for the regulatory and market context (full list in the Competitor &amp; Market Research Report):</w:t>
      </w:r>
    </w:p>
    <w:p>
      <w:pPr>
        <w:pStyle w:val="ListParagraph"/>
        <w:numPr>
          <w:ilvl w:val="0"/>
          <w:numId w:val="2"/>
        </w:numPr>
        <w:spacing w:after="60" w:line="270"/>
      </w:pPr>
      <w:hyperlink w:history="1" r:id="rIdvnpbmz0ehjj_ayvirx62m">
        <w:r>
          <w:rPr>
            <w:rStyle w:val="Hyperlink"/>
            <w:sz w:val="18"/>
            <w:szCs w:val="18"/>
          </w:rPr>
          <w:t xml:space="preserve">NITI Aayog — Designing the Future of Dispute Resolution: The ODR Policy Plan for India</w:t>
        </w:r>
      </w:hyperlink>
    </w:p>
    <w:p>
      <w:pPr>
        <w:pStyle w:val="ListParagraph"/>
        <w:numPr>
          <w:ilvl w:val="0"/>
          <w:numId w:val="2"/>
        </w:numPr>
        <w:spacing w:after="60" w:line="270"/>
      </w:pPr>
      <w:hyperlink w:history="1" r:id="rIdauv6vts8nrrxj15rmejza">
        <w:r>
          <w:rPr>
            <w:rStyle w:val="Hyperlink"/>
            <w:sz w:val="18"/>
            <w:szCs w:val="18"/>
          </w:rPr>
          <w:t xml:space="preserve">The Mediation Act, 2023 (full text)</w:t>
        </w:r>
      </w:hyperlink>
    </w:p>
    <w:p>
      <w:pPr>
        <w:pStyle w:val="ListParagraph"/>
        <w:numPr>
          <w:ilvl w:val="0"/>
          <w:numId w:val="2"/>
        </w:numPr>
        <w:spacing w:after="60" w:line="270"/>
      </w:pPr>
      <w:hyperlink w:history="1" r:id="rIdynlhtyhrujbhv4czcqyrp">
        <w:r>
          <w:rPr>
            <w:rStyle w:val="Hyperlink"/>
            <w:sz w:val="18"/>
            <w:szCs w:val="18"/>
          </w:rPr>
          <w:t xml:space="preserve">SEBI — SMART ODR Portal (investor)</w:t>
        </w:r>
      </w:hyperlink>
    </w:p>
    <w:p>
      <w:pPr>
        <w:pStyle w:val="ListParagraph"/>
        <w:numPr>
          <w:ilvl w:val="0"/>
          <w:numId w:val="2"/>
        </w:numPr>
        <w:spacing w:after="60" w:line="270"/>
      </w:pPr>
      <w:hyperlink w:history="1" r:id="rIdeusfehf-uk6tha8clywc4">
        <w:r>
          <w:rPr>
            <w:rStyle w:val="Hyperlink"/>
            <w:sz w:val="18"/>
            <w:szCs w:val="18"/>
          </w:rPr>
          <w:t xml:space="preserve">RBI (Digital Lending) Directions, 2025 — overview (Obhan &amp; Associates)</w:t>
        </w:r>
      </w:hyperlink>
    </w:p>
    <w:p>
      <w:pPr>
        <w:pStyle w:val="ListParagraph"/>
        <w:numPr>
          <w:ilvl w:val="0"/>
          <w:numId w:val="2"/>
        </w:numPr>
        <w:spacing w:after="60" w:line="270"/>
      </w:pPr>
      <w:hyperlink w:history="1" r:id="rIdd0gl-smzkk0ogdkozuoif">
        <w:r>
          <w:rPr>
            <w:rStyle w:val="Hyperlink"/>
            <w:sz w:val="18"/>
            <w:szCs w:val="18"/>
          </w:rPr>
          <w:t xml:space="preserve">SHe-Box &amp; the POSH Act — digital complaint architecture (TeamLease RegTech)</w:t>
        </w:r>
      </w:hyperlink>
    </w:p>
    <w:p>
      <w:pPr>
        <w:pStyle w:val="ListParagraph"/>
        <w:numPr>
          <w:ilvl w:val="0"/>
          <w:numId w:val="2"/>
        </w:numPr>
        <w:spacing w:after="60" w:line="270"/>
      </w:pPr>
      <w:hyperlink w:history="1" r:id="rIdhk8mf3cpqb6nzwrleilxc">
        <w:r>
          <w:rPr>
            <w:rStyle w:val="Hyperlink"/>
            <w:sz w:val="18"/>
            <w:szCs w:val="18"/>
          </w:rPr>
          <w:t xml:space="preserve">Top 10 companies in Legal ODR (Emergen Research)</w:t>
        </w:r>
      </w:hyperlink>
    </w:p>
    <w:p>
      <w:pPr>
        <w:spacing w:after="80"/>
      </w:pPr>
      <w:r>
        <w:t xml:space="preserve"/>
      </w:r>
    </w:p>
    <w:p>
      <w:pPr>
        <w:pStyle w:val="Heading2"/>
      </w:pPr>
      <w:r>
        <w:t xml:space="preserve">22.3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6560"/>
      </w:tblGrid>
      <w:tr>
        <w:trPr>
          <w:tblHeader/>
        </w:trPr>
        <w:tc>
          <w:tcPr>
            <w:tcW w:type="dxa" w:w="13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6"/>
                <w:szCs w:val="16"/>
              </w:rPr>
              <w:t xml:space="preserve">Version</w:t>
            </w:r>
          </w:p>
        </w:tc>
        <w:tc>
          <w:tcPr>
            <w:tcW w:type="dxa" w:w="150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6"/>
                <w:szCs w:val="16"/>
              </w:rPr>
              <w:t xml:space="preserve">Date</w:t>
            </w:r>
          </w:p>
        </w:tc>
        <w:tc>
          <w:tcPr>
            <w:tcW w:type="dxa" w:w="6560"/>
            <w:tcBorders>
              <w:top w:val="single" w:color="CFD8E3" w:sz="1"/>
              <w:left w:val="single" w:color="CFD8E3" w:sz="1"/>
              <w:bottom w:val="single" w:color="CFD8E3" w:sz="1"/>
              <w:right w:val="single" w:color="CFD8E3" w:sz="1"/>
            </w:tcBorders>
            <w:shd w:fill="0B2A4A" w:val="clear"/>
            <w:tcMar>
              <w:top w:type="dxa" w:w="70"/>
              <w:left w:type="dxa" w:w="110"/>
              <w:bottom w:type="dxa" w:w="70"/>
              <w:right w:type="dxa" w:w="110"/>
            </w:tcMar>
            <w:vAlign w:val="center"/>
          </w:tcPr>
          <w:p>
            <w:pPr>
              <w:spacing w:after="0"/>
            </w:pPr>
            <w:r>
              <w:rPr>
                <w:b/>
                <w:bCs/>
                <w:color w:val="FFFFFF"/>
                <w:sz w:val="16"/>
                <w:szCs w:val="16"/>
              </w:rPr>
              <w:t xml:space="preserve">Change</w:t>
            </w:r>
          </w:p>
        </w:tc>
      </w:tr>
      <w:tr>
        <w:tc>
          <w:tcPr>
            <w:tcW w:type="dxa" w:w="13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v1.0</w:t>
            </w:r>
          </w:p>
        </w:tc>
        <w:tc>
          <w:tcPr>
            <w:tcW w:type="dxa" w:w="1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June 2026</w:t>
            </w:r>
          </w:p>
        </w:tc>
        <w:tc>
          <w:tcPr>
            <w:tcW w:type="dxa" w:w="65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Initial architecture baseline (Sections 0–18).</w:t>
            </w:r>
          </w:p>
        </w:tc>
      </w:tr>
      <w:tr>
        <w:tc>
          <w:tcPr>
            <w:tcW w:type="dxa" w:w="13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v1.1</w:t>
            </w:r>
          </w:p>
        </w:tc>
        <w:tc>
          <w:tcPr>
            <w:tcW w:type="dxa" w:w="1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June 2026</w:t>
            </w:r>
          </w:p>
        </w:tc>
        <w:tc>
          <w:tcPr>
            <w:tcW w:type="dxa" w:w="65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Added Section 19 — twelve enhancements (escalation contract, conflicts engine, AI governance, service-of-process, ruleset versioning, evidence integrity, multi-party/consolidation, settlement &amp; escrow ledger, legal-clock observability, cross-border readiness, interoperability, fairness &amp; quality).</w:t>
            </w:r>
          </w:p>
        </w:tc>
      </w:tr>
      <w:tr>
        <w:tc>
          <w:tcPr>
            <w:tcW w:type="dxa" w:w="13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v1.2</w:t>
            </w:r>
          </w:p>
        </w:tc>
        <w:tc>
          <w:tcPr>
            <w:tcW w:type="dxa" w:w="150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June 2026</w:t>
            </w:r>
          </w:p>
        </w:tc>
        <w:tc>
          <w:tcPr>
            <w:tcW w:type="dxa" w:w="6560"/>
            <w:tcBorders>
              <w:top w:val="single" w:color="CFD8E3" w:sz="1"/>
              <w:left w:val="single" w:color="CFD8E3" w:sz="1"/>
              <w:bottom w:val="single" w:color="CFD8E3" w:sz="1"/>
              <w:right w:val="single" w:color="CFD8E3" w:sz="1"/>
            </w:tcBorders>
            <w:shd w:fill="FFFFFF" w:val="clear"/>
            <w:tcMar>
              <w:top w:type="dxa" w:w="70"/>
              <w:left w:type="dxa" w:w="110"/>
              <w:bottom w:type="dxa" w:w="70"/>
              <w:right w:type="dxa" w:w="110"/>
            </w:tcMar>
            <w:vAlign w:val="center"/>
          </w:tcPr>
          <w:p>
            <w:pPr>
              <w:spacing w:after="0"/>
            </w:pPr>
            <w:r>
              <w:rPr>
                <w:b w:val="false"/>
                <w:bCs w:val="false"/>
                <w:color w:val="1F2937"/>
                <w:sz w:val="15"/>
                <w:szCs w:val="15"/>
              </w:rPr>
              <w:t xml:space="preserve">Added Section 20 — twelve production-hardening enhancements (comms/consent engine, Matter layer, neutral lifecycle, transactional outbox/saga, config validation &amp; staged rollout, vernacular &amp; accessibility, case-room collaboration, reporting &amp; regulatory returns, AI retrieval grounding &amp; evaluation, tenant provisioning &amp; environments, API quota &amp; abuse prevention, feature flags).</w:t>
            </w:r>
          </w:p>
        </w:tc>
      </w:tr>
      <w:tr>
        <w:tc>
          <w:tcPr>
            <w:tcW w:type="dxa" w:w="13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v1.3</w:t>
            </w:r>
          </w:p>
        </w:tc>
        <w:tc>
          <w:tcPr>
            <w:tcW w:type="dxa" w:w="150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June 2026</w:t>
            </w:r>
          </w:p>
        </w:tc>
        <w:tc>
          <w:tcPr>
            <w:tcW w:type="dxa" w:w="6560"/>
            <w:tcBorders>
              <w:top w:val="single" w:color="CFD8E3" w:sz="1"/>
              <w:left w:val="single" w:color="CFD8E3" w:sz="1"/>
              <w:bottom w:val="single" w:color="CFD8E3" w:sz="1"/>
              <w:right w:val="single" w:color="CFD8E3" w:sz="1"/>
            </w:tcBorders>
            <w:shd w:fill="F2F6FA" w:val="clear"/>
            <w:tcMar>
              <w:top w:type="dxa" w:w="70"/>
              <w:left w:type="dxa" w:w="110"/>
              <w:bottom w:type="dxa" w:w="70"/>
              <w:right w:type="dxa" w:w="110"/>
            </w:tcMar>
            <w:vAlign w:val="center"/>
          </w:tcPr>
          <w:p>
            <w:pPr>
              <w:spacing w:after="0"/>
            </w:pPr>
            <w:r>
              <w:rPr>
                <w:b w:val="false"/>
                <w:bCs w:val="false"/>
                <w:color w:val="1F2937"/>
                <w:sz w:val="15"/>
                <w:szCs w:val="15"/>
              </w:rPr>
              <w:t xml:space="preserve">Added Section 21 — seven competitive-response enhancements from refreshed 2026 market research (document-AI/OCR, named sector rulebooks, ‘first award upheld’ trust milestone, Lok Adalat-as-a-Service, transparent published pricing, AI-facilitated settlement, Academy-as-empanelment-funnel + GTM sequencing). Appendices renumbered to Section 22.</w:t>
            </w:r>
          </w:p>
        </w:tc>
      </w:tr>
    </w:tbl>
    <w:p>
      <w:pPr>
        <w:spacing w:after="80"/>
      </w:pPr>
      <w:r>
        <w:t xml:space="preserve"/>
      </w:r>
    </w:p>
    <w:p>
      <w:pPr>
        <w:pStyle w:val="Heading2"/>
      </w:pPr>
      <w:r>
        <w:t xml:space="preserve">22.4 Document end</w:t>
      </w:r>
    </w:p>
    <w:p>
      <w:pPr>
        <w:spacing w:after="140" w:line="276"/>
      </w:pPr>
      <w:r>
        <w:rPr>
          <w:i/>
          <w:iCs/>
          <w:color w:val="6B7280"/>
        </w:rPr>
        <w:t xml:space="preserve">End of Architecture Document v1.3. This document should be versioned in the team's document repository; material changes (new pillars, jurisdictions, or regulatory updates) warrant a minor version bump and a change-log entry.</w:t>
      </w:r>
    </w:p>
    <w:sectPr>
      <w:headerReference w:type="default" r:id="rId7"/>
      <w:footerReference w:type="default" r:id="rId8"/>
      <w:pgSz w:w="12240" w:h="15840" w:orient="portrait"/>
      <w:pgMar w:top="1180" w:right="1320" w:bottom="118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0EA" w:sz="4" w:space="4"/>
      </w:pBdr>
      <w:spacing w:before="60"/>
      <w:jc w:val="center"/>
    </w:pPr>
    <w:r>
      <w:rPr>
        <w:color w:val="6B7280"/>
        <w:sz w:val="14"/>
        <w:szCs w:val="14"/>
      </w:rPr>
      <w:t xml:space="preserve">Confidential — Internal Working Document      </w:t>
    </w:r>
    <w:r>
      <w:rPr>
        <w:color w:val="6B7280"/>
        <w:sz w:val="15"/>
        <w:szCs w:val="15"/>
      </w:rPr>
      <w:t xml:space="preserve">Page </w:t>
    </w:r>
    <w:r>
      <w:rPr>
        <w:color w:val="6B7280"/>
        <w:sz w:val="15"/>
        <w:szCs w:val="15"/>
      </w:rPr>
      <w:fldChar w:fldCharType="begin"/>
      <w:instrText xml:space="preserve">PAGE</w:instrText>
      <w:fldChar w:fldCharType="separate"/>
      <w:fldChar w:fldCharType="end"/>
    </w:r>
    <w:r>
      <w:rPr>
        <w:color w:val="6B7280"/>
        <w:sz w:val="15"/>
        <w:szCs w:val="15"/>
      </w:rPr>
      <w:t xml:space="preserve"> of </w:t>
    </w:r>
    <w:r>
      <w:rPr>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0EA" w:sz="4" w:space="4"/>
      </w:pBdr>
      <w:spacing w:after="80"/>
      <w:jc w:val="right"/>
    </w:pPr>
    <w:r>
      <w:rPr>
        <w:b/>
        <w:bCs/>
        <w:color w:val="0B2A4A"/>
        <w:sz w:val="15"/>
        <w:szCs w:val="15"/>
      </w:rPr>
      <w:t xml:space="preserve">EQUATOR RESOLUTION</w:t>
    </w:r>
    <w:r>
      <w:rPr>
        <w:color w:val="6B7280"/>
        <w:sz w:val="15"/>
        <w:szCs w:val="15"/>
      </w:rPr>
      <w:t xml:space="preserve">   |   Platform &amp; Solution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E7C7B"/>
      </w:r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7C7B" w:sz="8" w:space="4"/>
      </w:pBdr>
      <w:spacing w:after="160" w:before="280"/>
      <w:outlineLvl w:val="0"/>
    </w:pPr>
    <w:rPr>
      <w:rFonts w:ascii="Calibri" w:cs="Calibri" w:eastAsia="Calibri" w:hAnsi="Calibri"/>
      <w:b/>
      <w:bCs/>
      <w:color w:val="0B2A4A"/>
      <w:sz w:val="30"/>
      <w:szCs w:val="30"/>
    </w:rPr>
  </w:style>
  <w:style w:type="paragraph" w:styleId="Heading2">
    <w:name w:val="Heading 2"/>
    <w:basedOn w:val="Normal"/>
    <w:next w:val="Normal"/>
    <w:qFormat/>
    <w:pPr>
      <w:spacing w:after="110" w:before="220"/>
      <w:outlineLvl w:val="1"/>
    </w:pPr>
    <w:rPr>
      <w:rFonts w:ascii="Calibri" w:cs="Calibri" w:eastAsia="Calibri" w:hAnsi="Calibri"/>
      <w:b/>
      <w:bCs/>
      <w:color w:val="12477A"/>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0E7C7B"/>
      <w:sz w:val="22"/>
      <w:szCs w:val="22"/>
    </w:rPr>
  </w:style>
  <w:style w:type="paragraph" w:styleId="Hyperlink">
    <w:name w:val="Hyperlink"/>
    <w:basedOn w:val="Normal"/>
    <w:rPr>
      <w:color w:val="1F6FB2"/>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npbmz0ehjj_ayvirx62m" Type="http://schemas.openxmlformats.org/officeDocument/2006/relationships/hyperlink" Target="https://www.niti.gov.in/sites/default/files/2023-03/Designing-The-Future-of-Dispute-Resolution-The-ODR-Policy-Plan-for-India.pdf" TargetMode="External"/><Relationship Id="rIdauv6vts8nrrxj15rmejza" Type="http://schemas.openxmlformats.org/officeDocument/2006/relationships/hyperlink" Target="https://legalaffairs.gov.in/sites/default/files/MediationAct2023.pdf" TargetMode="External"/><Relationship Id="rIdynlhtyhrujbhv4czcqyrp" Type="http://schemas.openxmlformats.org/officeDocument/2006/relationships/hyperlink" Target="https://investor.sebi.gov.in/smart_orr.html" TargetMode="External"/><Relationship Id="rIdeusfehf-uk6tha8clywc4" Type="http://schemas.openxmlformats.org/officeDocument/2006/relationships/hyperlink" Target="https://www.obhanandassociates.com/blog/rewriting-the-rules-of-digital-lending-rbi-digital-lending-directions-2025/" TargetMode="External"/><Relationship Id="rIdd0gl-smzkk0ogdkozuoif" Type="http://schemas.openxmlformats.org/officeDocument/2006/relationships/hyperlink" Target="https://www.teamleaseregtech.com/blogs/154/she-box-and-the-posh-act-what-changes-for-employers-in-indias-digital-complaint-architecture/" TargetMode="External"/><Relationship Id="rIdhk8mf3cpqb6nzwrleilxc" Type="http://schemas.openxmlformats.org/officeDocument/2006/relationships/hyperlink" Target="https://www.emergenresearch.com/blog/top-10-companies-in-the-legal-online-dispute-resolution-market"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Equator Resolution — Platform &amp; Solution Architecture</dc:title>
  <dc:creator>Equator Resolution</dc:creator>
  <dc:description>Comprehensive technical architecture and engineering blueprint</dc:description>
  <cp:lastModifiedBy>Un-named</cp:lastModifiedBy>
  <cp:revision>1</cp:revision>
  <dcterms:created xsi:type="dcterms:W3CDTF">2026-06-26T09:38:22.964Z</dcterms:created>
  <dcterms:modified xsi:type="dcterms:W3CDTF">2026-06-26T09:38:22.964Z</dcterms:modified>
</cp:coreProperties>
</file>

<file path=docProps/custom.xml><?xml version="1.0" encoding="utf-8"?>
<Properties xmlns="http://schemas.openxmlformats.org/officeDocument/2006/custom-properties" xmlns:vt="http://schemas.openxmlformats.org/officeDocument/2006/docPropsVTypes"/>
</file>