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</w:pPr>
    </w:p>
    <w:p>
      <w:pPr>
        <w:spacing w:after="30"/>
        <w:jc w:val="center"/>
      </w:pPr>
      <w:r>
        <w:rPr>
          <w:b/>
          <w:bCs/>
          <w:color w:val="0B2A4A"/>
          <w:sz w:val="48"/>
          <w:szCs w:val="48"/>
        </w:rPr>
        <w:t xml:space="preserve">EQUATOR RESOLUTION</w:t>
      </w:r>
    </w:p>
    <w:p>
      <w:pPr>
        <w:pBdr>
          <w:bottom w:val="single" w:color="0E7C7B" w:sz="12" w:space="6"/>
        </w:pBdr>
        <w:spacing w:after="220"/>
        <w:jc w:val="center"/>
      </w:pPr>
      <w:r>
        <w:rPr>
          <w:sz w:val="2"/>
          <w:szCs w:val="2"/>
        </w:rPr>
        <w:t xml:space="preserve"/>
      </w:r>
    </w:p>
    <w:p>
      <w:pPr>
        <w:spacing w:after="22"/>
        <w:jc w:val="center"/>
      </w:pPr>
      <w:r>
        <w:rPr>
          <w:b/>
          <w:bCs/>
          <w:color w:val="1F2937"/>
          <w:sz w:val="38"/>
          <w:szCs w:val="38"/>
        </w:rPr>
        <w:t xml:space="preserve">Risk Register &amp; Architecture Decision Log</w:t>
      </w:r>
    </w:p>
    <w:p>
      <w:pPr>
        <w:spacing w:after="20"/>
        <w:jc w:val="center"/>
      </w:pPr>
      <w:r>
        <w:rPr>
          <w:color w:val="6B7280"/>
          <w:sz w:val="22"/>
          <w:szCs w:val="22"/>
        </w:rPr>
        <w:t xml:space="preserve">Scored risks (inherent vs residual) with owners &amp; mitigations · ADRs with options considered</w:t>
      </w:r>
    </w:p>
    <w:p>
      <w:pPr>
        <w:spacing w:after="480"/>
        <w:jc w:val="center"/>
      </w:pPr>
      <w:r>
        <w:rPr>
          <w:color w:val="1F6FB2"/>
          <w:sz w:val="19"/>
          <w:szCs w:val="19"/>
        </w:rPr>
        <w:t xml:space="preserve">Governance evidence: every risk owned, every decision deliberate</w:t>
      </w:r>
    </w:p>
    <w:p>
      <w:pPr>
        <w:spacing w:after="18"/>
        <w:jc w:val="center"/>
      </w:pPr>
      <w:r>
        <w:rPr>
          <w:color w:val="6B7280"/>
          <w:sz w:val="18"/>
          <w:szCs w:val="18"/>
        </w:rPr>
        <w:t xml:space="preserve">Document DOC-09  ·  Version 1.0  ·  June 2026  ·  CONFIDENTIAL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Risk Register &amp; ADR Log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Document code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DOC-09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June 2026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Issued for review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Owner (author)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 / Architecture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Reviewer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Engineering &amp; Legal Leadership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Approver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Confidential — Internal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Intended audience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Architecture review board, engineering, risk, compliance</w:t>
            </w:r>
          </w:p>
        </w:tc>
      </w:tr>
      <w:tr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7"/>
                <w:szCs w:val="17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7"/>
                <w:szCs w:val="17"/>
              </w:rPr>
              <w:t xml:space="preserve">See Master Index &amp; Reading Guide (DOC-00)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Risk Scoring Method</w:t>
      </w:r>
    </w:p>
    <w:p>
      <w:pPr>
        <w:spacing w:after="140" w:line="276"/>
      </w:pPr>
      <w:r>
        <w:t xml:space="preserve">Each risk is scored on Likelihood (1–5) × Impact (1–5) to a severity (L×I, 1–25). We record the inherent score (before controls), the mitigation, and the residual score (after controls). Risks scoring ≥15 residual require board attention; 8–14 require an owner and active mitigation; ≤7 are monitored.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3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Band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15–25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Severe &amp; likely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Board attention; mitigate before launch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8–14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Material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Owner + active mitigation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Moderate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4–7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Manageable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Monitor; periodic review</w:t>
            </w:r>
          </w:p>
        </w:tc>
      </w:tr>
      <w:tr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1–3</w:t>
            </w:r>
          </w:p>
        </w:tc>
        <w:tc>
          <w:tcPr>
            <w:tcW w:type="dxa" w:w="33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Minor</w:t>
            </w:r>
          </w:p>
        </w:tc>
        <w:tc>
          <w:tcPr>
            <w:tcW w:type="dxa" w:w="3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5"/>
                <w:szCs w:val="15"/>
              </w:rPr>
              <w:t xml:space="preserve">Accept; review at cadence</w:t>
            </w:r>
          </w:p>
        </w:tc>
      </w:tr>
    </w:tbl>
    <w:p>
      <w:pPr>
        <w:pStyle w:val="Heading1"/>
      </w:pPr>
      <w:r>
        <w:t xml:space="preserve">2. Risk Register</w:t>
      </w:r>
    </w:p>
    <w:p>
      <w:pPr>
        <w:spacing w:after="140" w:line="276"/>
      </w:pPr>
      <w:r>
        <w:t xml:space="preserve">Columns: ID · risk · category · Inherent (L×I=S) · mitigation · Residual (S) · owner.</w:t>
      </w:r>
    </w:p>
    <w:tbl>
      <w:tblPr>
        <w:tblW w:type="dxa" w:w="96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550"/>
        <w:gridCol w:w="1000"/>
        <w:gridCol w:w="900"/>
        <w:gridCol w:w="2600"/>
        <w:gridCol w:w="650"/>
        <w:gridCol w:w="1100"/>
      </w:tblGrid>
      <w:tr>
        <w:trPr>
          <w:tblHeader/>
        </w:trP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Cat.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Inh.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Mitigation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Res.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Owner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RISK-001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Regulatory change breaks compliance / clocks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Compliance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4×5=20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Configurable rulesets + versioning (ADR-010); legal watch; controls register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8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Compliance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RISK-002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E-signed award/MSA challenged on service/authenticity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3×5=15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Service-of-process certificates (ADR-009); certified e-sign/e-stamp; tamper-evident audit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RISK-003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Confidentiality breach of POSH/marital data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3×5=15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Tiered field encryption; need-to-know; break-glass logging (ADR-006); audit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Security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RISK-004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Neutral conflict of interest undermines award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3×4=12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Conflicts engine (ADR-002); declarations; re-check on new party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Ops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RISK-005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Two-sided cold-start (no liquidity)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GTM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4×4=16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Anchor NBFC partner; Academy seeds neutrals; phased launch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9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RISK-006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Bulk-intake data quality (NBFC)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4×3=12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Validation, idempotency, exception queues, reconciliation (ADR-004)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Eng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RISK-007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Multi-party/consolidation modelled too late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3×3=9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case_groups/relationships in schema now (ADR-015)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Architect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RISK-008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AI over-reliance / erroneous output relied on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Trust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3×4=12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Advisory-only; provenance; tier policy; human gate (ADR-012)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Architect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RISK-009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Data-residency / cross-border non-compliance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Compliance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3×4=12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Residency zones; India-in-India; per-jurisdiction config (ADR-014)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Compliance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RISK-010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Vendor lock-in (KYC/eSign/video)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Technical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3×3=9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Provider-abstraction adapters; ≥2 providers per capability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Architect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RISK-011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Scaling cost outruns revenue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Financial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3×4=12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Managed services; autoscaling; async pipelines; scenario model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Founder/CFO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RISK-012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Mediated settlement undone (coercion/non-disclosure)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3×4=12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Screening, disclosure affidavits, reality-testing, clean record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Legal Lead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RISK-013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Incumbent expands into Equator's segments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Market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4×3=12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Breadth + Private Court + Academy moat; compliance depth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8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Founder</w:t>
            </w:r>
          </w:p>
        </w:tc>
      </w:tr>
      <w:tr>
        <w:tc>
          <w:tcPr>
            <w:tcW w:type="dxa" w:w="8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RISK-014</w:t>
            </w:r>
          </w:p>
        </w:tc>
        <w:tc>
          <w:tcPr>
            <w:tcW w:type="dxa" w:w="25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Key-person / talent dependency</w:t>
            </w:r>
          </w:p>
        </w:tc>
        <w:tc>
          <w:tcPr>
            <w:tcW w:type="dxa" w:w="10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Operational</w:t>
            </w:r>
          </w:p>
        </w:tc>
        <w:tc>
          <w:tcPr>
            <w:tcW w:type="dxa" w:w="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3×3=9</w:t>
            </w:r>
          </w:p>
        </w:tc>
        <w:tc>
          <w:tcPr>
            <w:tcW w:type="dxa" w:w="26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Documentation (this set); cross-training; runbooks</w:t>
            </w:r>
          </w:p>
        </w:tc>
        <w:tc>
          <w:tcPr>
            <w:tcW w:type="dxa" w:w="65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6</w:t>
            </w:r>
          </w:p>
        </w:tc>
        <w:tc>
          <w:tcPr>
            <w:tcW w:type="dxa" w:w="11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COO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4EA" w:sz="1"/>
              <w:left w:val="single" w:color="1E7D34" w:sz="24"/>
              <w:bottom w:val="single" w:color="E6F4EA" w:sz="1"/>
              <w:right w:val="single" w:color="E6F4EA" w:sz="1"/>
            </w:tcBorders>
            <w:shd w:fill="E6F4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2A4A"/>
                <w:sz w:val="20"/>
                <w:szCs w:val="20"/>
              </w:rPr>
              <w:t xml:space="preserve">Residual posture</w:t>
            </w:r>
          </w:p>
          <w:p>
            <w:pPr>
              <w:spacing w:after="0"/>
            </w:pPr>
            <w:r>
              <w:rPr>
                <w:color w:val="1F2937"/>
                <w:sz w:val="19"/>
                <w:szCs w:val="19"/>
              </w:rPr>
              <w:t xml:space="preserve">After mitigation, no risk remains ‘Critical’. The two highest residual risks are GTM cold-start (RISK-005) and regulatory change (RISK-001) — both owned, both with active mitigation. Risks are reviewed at each phase gate; new risks are added with the same scoring.</w:t>
            </w:r>
          </w:p>
        </w:tc>
      </w:tr>
    </w:tbl>
    <w:p>
      <w:pPr>
        <w:pStyle w:val="Heading1"/>
      </w:pPr>
      <w:r>
        <w:t xml:space="preserve">3. Architecture Decision Records (ADR Log)</w:t>
      </w:r>
    </w:p>
    <w:p>
      <w:pPr>
        <w:spacing w:after="140" w:line="276"/>
      </w:pPr>
      <w:r>
        <w:t xml:space="preserve">Each ADR records the decision, the context, the options considered, the choice, and the consequences. This is what shows decisions were deliberate, not defaults.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1700"/>
        <w:gridCol w:w="2200"/>
        <w:gridCol w:w="1300"/>
        <w:gridCol w:w="1460"/>
      </w:tblGrid>
      <w:tr>
        <w:trPr>
          <w:tblHeader/>
        </w:trP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ID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Decision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Options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Chosen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0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3"/>
                <w:szCs w:val="13"/>
              </w:rPr>
              <w:t xml:space="preserve">Consequences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ADR-001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Configurable state machine for case lifecycle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Need one engine across 4 pillars + jurisdictions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Hard-coded flows per pillar; (b) Config-driven state machine; (c) BPM engine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Config-driven transition table in config-svc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New pillar/jurisdiction = config, not code; needs strong config governance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ADR-002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Conflicts engine as a graph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Self-declaration insufficient for award integrity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Checkbox declaration; (b) Conflicts graph w/ auto-check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Graph of neutral/party/counsel/firm edges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Stronger independence; more build + data upkeep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ADR-004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Async bulk intake pipeline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NBFC volume needs throughput &amp; idempotency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Sync per-case API; (b) Queue + workers + idempotency keys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Async pipeline w/ exception queue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Scales; adds eventual-consistency handling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ADR-005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Certified e-sign + e-stamp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Outcomes must be enforceable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Simple e-sign; (b) Aadhaar/certified e-sign + e-stamp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Certified path w/ certificate of authenticity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Enforceability; provider integration overhead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ADR-006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Confidentiality tiers w/ field encryption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POSH/marital data is special-category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Uniform encryption; (b) Tiered keys + field-level for POSH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Tiered model (Standard/High/POSH)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Strong protection; key-management complexity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ADR-008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Escalation contract object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Hand-offs break confidentiality/consent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Implicit transition; (b) Explicit escalation_contract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Consent + sealed-items manifest per hand-off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Defensible; one mechanism reused everywhere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ADR-009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Service-of-process certificates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Awards challenged on service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Send-only notifications; (b) Service engine + certificate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Attempts + deemed-service + hashed certificate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Survives challenge; more records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ADR-010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Ruleset versioning + case pinning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Regulation changes mid-case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Single mutable ruleset; (b) Versioned + effective-dated + pinned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Pin version at registration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Compliance safety; version management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ADR-012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AI advisory-only + governance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AI must not adjudicate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AI in workflow; (b) Advisory layer w/ provenance + tier policy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Human-gated, attributed, tier-restricted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Trust + regulatory readiness; throughput limited by review</w:t>
            </w:r>
          </w:p>
        </w:tc>
      </w:tr>
      <w:tr>
        <w:tc>
          <w:tcPr>
            <w:tcW w:type="dxa" w:w="8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ADR-014</w:t>
            </w:r>
          </w:p>
        </w:tc>
        <w:tc>
          <w:tcPr>
            <w:tcW w:type="dxa" w:w="19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Per-jurisdiction residency zones</w:t>
            </w:r>
          </w:p>
        </w:tc>
        <w:tc>
          <w:tcPr>
            <w:tcW w:type="dxa" w:w="17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DPDP + global expansion</w:t>
            </w:r>
          </w:p>
        </w:tc>
        <w:tc>
          <w:tcPr>
            <w:tcW w:type="dxa" w:w="22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(a) Single region; (b) Residency zones per jurisdiction</w:t>
            </w:r>
          </w:p>
        </w:tc>
        <w:tc>
          <w:tcPr>
            <w:tcW w:type="dxa" w:w="130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(b) Route tenants to zone; share code not data</w:t>
            </w:r>
          </w:p>
        </w:tc>
        <w:tc>
          <w:tcPr>
            <w:tcW w:type="dxa" w:w="1460"/>
            <w:tcBorders>
              <w:top w:val="single" w:color="CFD8E3" w:sz="1"/>
              <w:left w:val="single" w:color="CFD8E3" w:sz="1"/>
              <w:bottom w:val="single" w:color="CFD8E3" w:sz="1"/>
              <w:right w:val="single" w:color="CFD8E3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11"/>
                <w:szCs w:val="11"/>
              </w:rPr>
              <w:t xml:space="preserve">Compliant expansion; infra duplication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line="276"/>
      </w:pPr>
      <w:r>
        <w:rPr>
          <w:i/>
          <w:iCs/>
          <w:color w:val="6B7280"/>
        </w:rPr>
        <w:t xml:space="preserve">ADR status legend: all above are Accepted. Superseded ADRs are retained with a pointer to the replacement. End of DOC-09 v1.0.</w:t>
      </w:r>
    </w:p>
    <w:sectPr>
      <w:headerReference w:type="default" r:id="rId7"/>
      <w:footerReference w:type="default" r:id="rId8"/>
      <w:pgSz w:w="12240" w:h="15840" w:orient="portrait"/>
      <w:pgMar w:top="1180" w:right="1320" w:bottom="118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EA" w:sz="4" w:space="4"/>
      </w:pBdr>
      <w:spacing w:before="60"/>
      <w:jc w:val="center"/>
    </w:pPr>
    <w:r>
      <w:rPr>
        <w:color w:val="6B7280"/>
        <w:sz w:val="13"/>
        <w:szCs w:val="13"/>
      </w:rPr>
      <w:t xml:space="preserve">Confidential      Page </w:t>
    </w:r>
    <w:r>
      <w:rPr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3"/>
        <w:szCs w:val="13"/>
      </w:rPr>
      <w:t xml:space="preserve"> of </w:t>
    </w:r>
    <w:r>
      <w:rPr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0EA" w:sz="4" w:space="4"/>
      </w:pBdr>
      <w:spacing w:after="80"/>
      <w:jc w:val="right"/>
    </w:pPr>
    <w:r>
      <w:rPr>
        <w:b/>
        <w:bCs/>
        <w:color w:val="0B2A4A"/>
        <w:sz w:val="15"/>
        <w:szCs w:val="15"/>
      </w:rPr>
      <w:t xml:space="preserve">EQUATOR RESOLUTION</w:t>
    </w:r>
    <w:r>
      <w:rPr>
        <w:color w:val="6B7280"/>
        <w:sz w:val="15"/>
        <w:szCs w:val="15"/>
      </w:rPr>
      <w:t xml:space="preserve">   |   Risk Register &amp; ADR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7C7B"/>
      </w:r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7B" w:sz="8" w:space="4"/>
      </w:pBdr>
      <w:spacing w:after="160" w:before="280"/>
      <w:outlineLvl w:val="0"/>
    </w:pPr>
    <w:rPr>
      <w:rFonts w:ascii="Calibri" w:cs="Calibri" w:eastAsia="Calibri" w:hAnsi="Calibr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Calibri" w:cs="Calibri" w:eastAsia="Calibri" w:hAnsi="Calibri"/>
      <w:b/>
      <w:bCs/>
      <w:color w:val="1247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0E7C7B"/>
      <w:sz w:val="22"/>
      <w:szCs w:val="22"/>
    </w:rPr>
  </w:style>
  <w:style w:type="paragraph" w:styleId="Hyperlink">
    <w:name w:val="Hyperlink"/>
    <w:basedOn w:val="Normal"/>
    <w:rPr>
      <w:color w:val="1F6FB2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Register &amp; ADR Log</dc:title>
  <dc:creator>Equator Resolution</dc:creator>
  <cp:lastModifiedBy>Un-named</cp:lastModifiedBy>
  <cp:revision>1</cp:revision>
  <dcterms:created xsi:type="dcterms:W3CDTF">2026-06-26T06:30:43.329Z</dcterms:created>
  <dcterms:modified xsi:type="dcterms:W3CDTF">2026-06-26T06:30:43.329Z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