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30"/>
        <w:jc w:val="center"/>
      </w:pPr>
      <w:r>
        <w:rPr>
          <w:b/>
          <w:bCs/>
          <w:color w:val="0B2A4A"/>
          <w:sz w:val="48"/>
          <w:szCs w:val="48"/>
        </w:rPr>
        <w:t xml:space="preserve">EQUATOR RESOLUTION</w:t>
      </w:r>
    </w:p>
    <w:p>
      <w:pPr>
        <w:pBdr>
          <w:bottom w:val="single" w:color="0E7C7B" w:sz="12" w:space="6"/>
        </w:pBdr>
        <w:spacing w:after="220"/>
        <w:jc w:val="center"/>
      </w:pPr>
      <w:r>
        <w:rPr>
          <w:sz w:val="2"/>
          <w:szCs w:val="2"/>
        </w:rPr>
        <w:t xml:space="preserve"/>
      </w:r>
    </w:p>
    <w:p>
      <w:pPr>
        <w:spacing w:after="22"/>
        <w:jc w:val="center"/>
      </w:pPr>
      <w:r>
        <w:rPr>
          <w:b/>
          <w:bCs/>
          <w:color w:val="1F2937"/>
          <w:sz w:val="38"/>
          <w:szCs w:val="38"/>
        </w:rPr>
        <w:t xml:space="preserve">Security &amp; Compliance Pack</w:t>
      </w:r>
    </w:p>
    <w:p>
      <w:pPr>
        <w:spacing w:after="20"/>
        <w:jc w:val="center"/>
      </w:pPr>
      <w:r>
        <w:rPr>
          <w:color w:val="6B7280"/>
          <w:sz w:val="22"/>
          <w:szCs w:val="22"/>
        </w:rPr>
        <w:t xml:space="preserve">STRIDE threat model · ISO 27001 Annex A + SOC 2 control matrix · data classification, retention &amp; lawful basis</w:t>
      </w:r>
    </w:p>
    <w:p>
      <w:pPr>
        <w:spacing w:after="480"/>
        <w:jc w:val="center"/>
      </w:pPr>
      <w:r>
        <w:rPr>
          <w:color w:val="1F6FB2"/>
          <w:sz w:val="19"/>
          <w:szCs w:val="19"/>
        </w:rPr>
        <w:t xml:space="preserve">The assurance evidence an auditor checks first</w:t>
      </w:r>
    </w:p>
    <w:p>
      <w:pPr>
        <w:spacing w:after="18"/>
        <w:jc w:val="center"/>
      </w:pPr>
      <w:r>
        <w:rPr>
          <w:color w:val="6B7280"/>
          <w:sz w:val="18"/>
          <w:szCs w:val="18"/>
        </w:rPr>
        <w:t xml:space="preserve">Document DOC-11  ·  Version 1.0  ·  June 2026  ·  CONFIDENTIAL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Security &amp; Compliance Pack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code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DOC-11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Issued for review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Owner (author)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 / Architecture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Reviewer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Engineering &amp; Legal Leadership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Approver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Confidential — Internal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Intended audience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Security, compliance, audit, engineering, DPO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Related documents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See Master Index &amp; Reading Guide (DOC-00)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Security Principles &amp; Trust Boundaries</w:t>
      </w:r>
    </w:p>
    <w:p>
      <w:pPr>
        <w:spacing w:after="140" w:line="276"/>
      </w:pPr>
      <w:r>
        <w:t xml:space="preserve">Dispute data — financial, marital, and harassment records — is among the most sensitive a platform can hold. Security is foundational. The platform is defended in depth: edge (WAF/DDoS/gateway), application (authZ, validation), data (encryption, tiering), and operations (least privilege, monitoring, audit). Three trust boundaries matter most: tenant↔tenant isolation, the POSH/marital confidentiality tier, and the human↔AI boundary (AI never adjudicates).</w:t>
      </w:r>
    </w:p>
    <w:p>
      <w:pPr>
        <w:pStyle w:val="Heading2"/>
      </w:pPr>
      <w:r>
        <w:t xml:space="preserve">1.1 Confidentiality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Applies to</w:t>
            </w:r>
          </w:p>
        </w:tc>
        <w:tc>
          <w:tcPr>
            <w:tcW w:type="dxa" w:w="4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Controls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Most commercial / NBFC</w:t>
            </w:r>
          </w:p>
        </w:tc>
        <w:tc>
          <w:tcPr>
            <w:tcW w:type="dxa" w:w="4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TLS + AES-256 at rest; RBAC; standard audit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Marital / sensitive grievance</w:t>
            </w:r>
          </w:p>
        </w:tc>
        <w:tc>
          <w:tcPr>
            <w:tcW w:type="dxa" w:w="4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+ stricter access scoping; download/watermark controls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POSH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POSH complaints</w:t>
            </w:r>
          </w:p>
        </w:tc>
        <w:tc>
          <w:tcPr>
            <w:tcW w:type="dxa" w:w="4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+ field-level encryption of identities; need-to-know only; break-glass logged</w:t>
            </w:r>
          </w:p>
        </w:tc>
      </w:tr>
    </w:tbl>
    <w:p>
      <w:pPr>
        <w:pStyle w:val="Heading1"/>
      </w:pPr>
      <w:r>
        <w:t xml:space="preserve">2. STRIDE Threat Model</w:t>
      </w:r>
    </w:p>
    <w:p>
      <w:pPr>
        <w:spacing w:after="140" w:line="276"/>
      </w:pPr>
      <w:r>
        <w:t xml:space="preserve">Threats are enumerated per the STRIDE taxonomy against the platform's key components, each with the mitigating control (CTRL ids cross-reference §4).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Threat (STRIDE)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Example against Equator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Mitigation (CTRL)</w:t>
            </w:r>
          </w:p>
        </w:tc>
      </w:tr>
      <w:tr>
        <w:tc>
          <w:tcPr>
            <w:tcW w:type="dxa" w:w="2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Spoofing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Impersonating a neutral/party to access a case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MFA, identity assurance via KYC, SSO (CTRL-002)</w:t>
            </w:r>
          </w:p>
        </w:tc>
      </w:tr>
      <w:tr>
        <w:tc>
          <w:tcPr>
            <w:tcW w:type="dxa" w:w="2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Tampering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Altering an award/evidence after submission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Hash-on-ingest, immutable audit, e-sign integrity (CTRL-003, CTRL-006)</w:t>
            </w:r>
          </w:p>
        </w:tc>
      </w:tr>
      <w:tr>
        <w:tc>
          <w:tcPr>
            <w:tcW w:type="dxa" w:w="2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Repudiation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Party denies service / signing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Service certificates, signed audit chain (CTRL-006, CTRL-003)</w:t>
            </w:r>
          </w:p>
        </w:tc>
      </w:tr>
      <w:tr>
        <w:tc>
          <w:tcPr>
            <w:tcW w:type="dxa" w:w="2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Information disclosure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Leak of POSH identity / case data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Tiered + field encryption, need-to-know, signed URLs (CTRL-001)</w:t>
            </w:r>
          </w:p>
        </w:tc>
      </w:tr>
      <w:tr>
        <w:tc>
          <w:tcPr>
            <w:tcW w:type="dxa" w:w="2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Denial of service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Flooding intake / hearings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WAF, rate limiting, autoscaling, queue back-pressure (CTRL-010)</w:t>
            </w:r>
          </w:p>
        </w:tc>
      </w:tr>
      <w:tr>
        <w:tc>
          <w:tcPr>
            <w:tcW w:type="dxa" w:w="2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Elevation of privilege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Staff accessing cases out of scope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RBAC+ABAC, least privilege, JIT admin, break-glass logging (CTRL-002, CTRL-009)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7ED" w:sz="1"/>
              <w:left w:val="single" w:color="B45309" w:sz="24"/>
              <w:bottom w:val="single" w:color="FFF7ED" w:sz="1"/>
              <w:right w:val="single" w:color="FFF7ED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Abuse cases worth modelling explicitly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Beyond STRIDE: a malicious lender bulk-filing to harass borrowers (rate + fair-practice controls); a neutral with an undisclosed conflict (conflicts engine); coercion in a mediation (screening + reality-testing); and an insider seeking POSH identities (field encryption + break-glass). Each maps to a control and a test case (DOC-13).</w:t>
            </w:r>
          </w:p>
        </w:tc>
      </w:tr>
    </w:tbl>
    <w:p>
      <w:pPr>
        <w:pStyle w:val="Heading1"/>
      </w:pPr>
      <w:r>
        <w:t xml:space="preserve">3. Data Classification, Retention &amp; Lawful Basis</w:t>
      </w:r>
    </w:p>
    <w:p>
      <w:pPr>
        <w:spacing w:after="140" w:line="276"/>
      </w:pPr>
      <w:r>
        <w:t xml:space="preserve">Per-table classification with PII/sensitivity tag, retention schedule, and lawful basis (DPDP-aligned). This is the table a privacy/SOC-2 auditor opens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660"/>
        <w:gridCol w:w="2100"/>
      </w:tblGrid>
      <w:tr>
        <w:trPr>
          <w:tblHeader/>
        </w:trP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Data class / table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Sensitivity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Retention (default)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Lawful basis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users / kyc_records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PII / special (ID)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Life of account + statutory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Contract; legal obligation (KYC)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cases / parties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PII; tiered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Long-term (awards); drafts purged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Contract; legitimate interest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grievances (POSH)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Special-category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Per statute; restricted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Legal obligation (POSH); consent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maintenance/disclosure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Financial PII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Life of matter + appeal window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Contract; legal obligation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evidence_items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Tiered; sensitive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Per matter + retention policy; legal hold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Contract; legitimate interest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audit_entries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Operational + PII refs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Long-term, immutable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Legal obligation; legitimate interest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ai_outputs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Derived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Short; tied to case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Legitimate interest (advisory)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payments/escrow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Financial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Statutory (accounting)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Contract; legal obligation</w:t>
            </w:r>
          </w:p>
        </w:tc>
      </w:tr>
      <w:tr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notifications/consents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PII; consent records</w:t>
            </w:r>
          </w:p>
        </w:tc>
        <w:tc>
          <w:tcPr>
            <w:tcW w:type="dxa" w:w="26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Retain consent proof</w:t>
            </w:r>
          </w:p>
        </w:tc>
        <w:tc>
          <w:tcPr>
            <w:tcW w:type="dxa" w:w="2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Consent; legal obligation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Data-subject rights (DPDP): access, correction, erasure (where lawful), and grievance — workflow per Architecture §19; POSH/legal-hold data is exempt from erasure while obligations subsist.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Data residency: India data remains in Indian regions; per-jurisdiction residency zones for expansion.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Minimisation: analytics use de-identified data; special-category fields excluded from external model calls.</w:t>
      </w:r>
    </w:p>
    <w:p>
      <w:pPr>
        <w:pStyle w:val="Heading1"/>
      </w:pPr>
      <w:r>
        <w:t xml:space="preserve">4. Control Matrix — ISO 27001 Annex A &amp; SOC 2</w:t>
      </w:r>
    </w:p>
    <w:p>
      <w:pPr>
        <w:spacing w:after="140" w:line="276"/>
      </w:pPr>
      <w:r>
        <w:t xml:space="preserve">Each control is mapped to the relevant ISO 27001:2022 Annex A theme and the SOC 2 Trust Service Criteria (TSC) it supports, with implementation status.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2300"/>
        <w:gridCol w:w="1700"/>
        <w:gridCol w:w="1100"/>
      </w:tblGrid>
      <w:tr>
        <w:trPr>
          <w:tblHeader/>
        </w:trP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CTRL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Control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ISO 27001 (A.)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SOC 2 TSC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CTRL-001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Encryption in transit &amp; at rest; tiered/field-level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A.8.24 Cryptography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Confidentiality, Security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CTRL-002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RBAC+ABAC, MFA, SSO, identity assurance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A.5.15–5.18 Access control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CTRL-003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Immutable, hash-chained audit log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A.8.15 Logging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Security, Processing Integrity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CTRL-004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Data residency &amp; per-jurisdiction zones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A.5.31 Legal/regulatory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Confidentiality, Privacy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CTRL-005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Escalation contract (consent + sealed items)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A.5.34 Privacy/PII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Privacy, Confidentiality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CTRL-006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Service certificates + certified e-sign/e-stamp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A.5.33 Records protection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Processing Integrity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CTRL-007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Ruleset versioning &amp; change governance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A.8.32 Change mgmt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Processing Integrity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CTRL-008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AI governance (provenance, tier policy, human gate)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A.5.1 Policies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Processing Integrity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CTRL-009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Least privilege, JIT admin, break-glass logging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A.8.2 Privileged access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CTRL-010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WAF, DDoS, rate limiting, autoscaling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A.8.20–8.23 Network/web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Availability, Security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CTRL-011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Secure SDLC: SAST/DAST, deps, secret scanning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A.8.25–8.29 Secure dev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CTRL-012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Backups, PITR, tested DR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A.8.13 Backup; A.5.30 ICT continuity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Availability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CTRL-013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Vendor/3rd-party management &amp; DPAs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A.5.19–5.23 Supplier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Security, Privacy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CTRL-014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Incident response &amp; breach notification</w:t>
            </w:r>
          </w:p>
        </w:tc>
        <w:tc>
          <w:tcPr>
            <w:tcW w:type="dxa" w:w="2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A.5.24–5.28 Incident mgmt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Designed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4EA" w:sz="1"/>
              <w:left w:val="single" w:color="1E7D34" w:sz="24"/>
              <w:bottom w:val="single" w:color="E6F4EA" w:sz="1"/>
              <w:right w:val="single" w:color="E6F4EA" w:sz="1"/>
            </w:tcBorders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Certification trajectory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Target ISO 27001 certification and SOC 2 Type II. Maintain a living controls register mapped to this matrix and to the RTM (DOC-08) so audits are evidence-driven. ‘Status: Designed’ becomes ‘Implemented’ then ‘Operating effectively (tested)’ as the build proceeds.</w:t>
            </w:r>
          </w:p>
        </w:tc>
      </w:tr>
    </w:tbl>
    <w:p>
      <w:pPr>
        <w:pStyle w:val="Heading1"/>
      </w:pPr>
      <w:r>
        <w:t xml:space="preserve">5. Incident Response (summary)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Detect — SIEM/anomaly alerts; break-glass and failed-access monitoring.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Triage &amp; classify — severity; data categories involved (POSH/marital escalate).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Contain — isolate, rotate keys/secrets, revoke sessions.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Notify — per DPDP / regulatory timelines; affected data principals where required.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Recover &amp; learn — restore (PITR), post-incident review, control update + new test case.</w:t>
      </w:r>
    </w:p>
    <w:p>
      <w:pPr>
        <w:spacing w:after="80"/>
      </w:pPr>
      <w:r>
        <w:t xml:space="preserve"/>
      </w:r>
    </w:p>
    <w:p>
      <w:pPr>
        <w:spacing w:after="140" w:line="276"/>
      </w:pPr>
      <w:r>
        <w:rPr>
          <w:i/>
          <w:iCs/>
          <w:color w:val="6B7280"/>
        </w:rPr>
        <w:t xml:space="preserve">End of DOC-11 v1.0.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EA" w:sz="4" w:space="4"/>
      </w:pBdr>
      <w:spacing w:before="60"/>
      <w:jc w:val="center"/>
    </w:pPr>
    <w:r>
      <w:rPr>
        <w:color w:val="6B7280"/>
        <w:sz w:val="13"/>
        <w:szCs w:val="13"/>
      </w:rPr>
      <w:t xml:space="preserve">Confidential     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3"/>
        <w:szCs w:val="13"/>
      </w:rPr>
      <w:t xml:space="preserve"> of </w:t>
    </w:r>
    <w:r>
      <w:rPr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EA" w:sz="4" w:space="4"/>
      </w:pBdr>
      <w:spacing w:after="80"/>
      <w:jc w:val="right"/>
    </w:pPr>
    <w:r>
      <w:rPr>
        <w:b/>
        <w:bCs/>
        <w:color w:val="0B2A4A"/>
        <w:sz w:val="15"/>
        <w:szCs w:val="15"/>
      </w:rPr>
      <w:t xml:space="preserve">EQUATOR RESOLUTION</w:t>
    </w:r>
    <w:r>
      <w:rPr>
        <w:color w:val="6B7280"/>
        <w:sz w:val="15"/>
        <w:szCs w:val="15"/>
      </w:rPr>
      <w:t xml:space="preserve">   |   Security &amp;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0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247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E7C7B"/>
      <w:sz w:val="22"/>
      <w:szCs w:val="22"/>
    </w:rPr>
  </w:style>
  <w:style w:type="paragraph" w:styleId="Hyperlink">
    <w:name w:val="Hyperlink"/>
    <w:basedOn w:val="Normal"/>
    <w:rPr>
      <w:color w:val="1F6FB2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&amp; Compliance Pack</dc:title>
  <dc:creator>Equator Resolution</dc:creator>
  <cp:lastModifiedBy>Un-named</cp:lastModifiedBy>
  <cp:revision>1</cp:revision>
  <dcterms:created xsi:type="dcterms:W3CDTF">2026-06-26T06:36:23.284Z</dcterms:created>
  <dcterms:modified xsi:type="dcterms:W3CDTF">2026-06-26T06:36:23.285Z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