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</w:pPr>
    </w:p>
    <w:p>
      <w:pPr>
        <w:spacing w:after="30"/>
        <w:jc w:val="center"/>
      </w:pPr>
      <w:r>
        <w:rPr>
          <w:b/>
          <w:bCs/>
          <w:color w:val="0B2A4A"/>
          <w:sz w:val="48"/>
          <w:szCs w:val="48"/>
        </w:rPr>
        <w:t xml:space="preserve">EQUATOR RESOLUTION</w:t>
      </w:r>
    </w:p>
    <w:p>
      <w:pPr>
        <w:pBdr>
          <w:bottom w:val="single" w:color="0E7C7B" w:sz="12" w:space="6"/>
        </w:pBdr>
        <w:spacing w:after="220"/>
        <w:jc w:val="center"/>
      </w:pPr>
      <w:r>
        <w:rPr>
          <w:sz w:val="2"/>
          <w:szCs w:val="2"/>
        </w:rPr>
        <w:t xml:space="preserve"/>
      </w:r>
    </w:p>
    <w:p>
      <w:pPr>
        <w:spacing w:after="22"/>
        <w:jc w:val="center"/>
      </w:pPr>
      <w:r>
        <w:rPr>
          <w:b/>
          <w:bCs/>
          <w:color w:val="1F2937"/>
          <w:sz w:val="38"/>
          <w:szCs w:val="38"/>
        </w:rPr>
        <w:t xml:space="preserve">Test &amp; Quality Assurance Architecture</w:t>
      </w:r>
    </w:p>
    <w:p>
      <w:pPr>
        <w:spacing w:after="20"/>
        <w:jc w:val="center"/>
      </w:pPr>
      <w:r>
        <w:rPr>
          <w:color w:val="6B7280"/>
          <w:sz w:val="22"/>
          <w:szCs w:val="22"/>
        </w:rPr>
        <w:t xml:space="preserve">Test strategy (unit→UAT) · synthetic test data for sensitive tiers · acceptance criteria tied to requirements</w:t>
      </w:r>
    </w:p>
    <w:p>
      <w:pPr>
        <w:spacing w:after="480"/>
        <w:jc w:val="center"/>
      </w:pPr>
      <w:r>
        <w:rPr>
          <w:color w:val="1F6FB2"/>
          <w:sz w:val="19"/>
          <w:szCs w:val="19"/>
        </w:rPr>
        <w:t xml:space="preserve">Proving the platform does what the requirements say — and nothing it must not</w:t>
      </w:r>
    </w:p>
    <w:p>
      <w:pPr>
        <w:spacing w:after="18"/>
        <w:jc w:val="center"/>
      </w:pPr>
      <w:r>
        <w:rPr>
          <w:color w:val="6B7280"/>
          <w:sz w:val="18"/>
          <w:szCs w:val="18"/>
        </w:rPr>
        <w:t xml:space="preserve">Document DOC-13  ·  Version 1.0  ·  June 2026  ·  CONFIDENTIAL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Test &amp; QA Architecture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Document code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DOC-13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June 2026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Issued for review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Owner (author)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Founder / Architecture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Reviewer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Engineering &amp; Legal Leadership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Approver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Founder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Confidential — Internal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Intended audience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QA, engineering, product, compliance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Related documents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See Master Index &amp; Reading Guide (DOC-00)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Test Strategy &amp; Pyramid</w:t>
      </w:r>
    </w:p>
    <w:p>
      <w:pPr>
        <w:spacing w:after="140" w:line="276"/>
      </w:pPr>
      <w:r>
        <w:t xml:space="preserve">Quality is built in across layers, weighted as a pyramid — many fast unit tests, fewer integration tests, a focused end-to-end and UAT layer. Every test case (TC) traces to a requirement (REQ) in the RTM (DOC-08), so coverage is provable.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1900"/>
        <w:gridCol w:w="2560"/>
      </w:tblGrid>
      <w:tr>
        <w:trPr>
          <w:tblHeader/>
        </w:trPr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Scope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Gate</w:t>
            </w:r>
          </w:p>
        </w:tc>
      </w:tr>
      <w:tr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Unit</w:t>
            </w:r>
          </w:p>
        </w:tc>
        <w:tc>
          <w:tcPr>
            <w:tcW w:type="dxa" w:w="34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Functions, validators, state-machine transitions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Dev</w:t>
            </w:r>
          </w:p>
        </w:tc>
        <w:tc>
          <w:tcPr>
            <w:tcW w:type="dxa" w:w="2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On commit (CI)</w:t>
            </w:r>
          </w:p>
        </w:tc>
      </w:tr>
      <w:tr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Integration</w:t>
            </w:r>
          </w:p>
        </w:tc>
        <w:tc>
          <w:tcPr>
            <w:tcW w:type="dxa" w:w="34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Service↔service, DB, adapters (mocked providers)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Dev/QA</w:t>
            </w:r>
          </w:p>
        </w:tc>
        <w:tc>
          <w:tcPr>
            <w:tcW w:type="dxa" w:w="2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On merge</w:t>
            </w:r>
          </w:p>
        </w:tc>
      </w:tr>
      <w:tr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Contract</w:t>
            </w:r>
          </w:p>
        </w:tc>
        <w:tc>
          <w:tcPr>
            <w:tcW w:type="dxa" w:w="34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API &amp; webhook schemas (vs OpenAPI)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QA</w:t>
            </w:r>
          </w:p>
        </w:tc>
        <w:tc>
          <w:tcPr>
            <w:tcW w:type="dxa" w:w="2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On merge</w:t>
            </w:r>
          </w:p>
        </w:tc>
      </w:tr>
      <w:tr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End-to-end</w:t>
            </w:r>
          </w:p>
        </w:tc>
        <w:tc>
          <w:tcPr>
            <w:tcW w:type="dxa" w:w="34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Full case journeys per pillar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QA</w:t>
            </w:r>
          </w:p>
        </w:tc>
        <w:tc>
          <w:tcPr>
            <w:tcW w:type="dxa" w:w="2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Pre-release</w:t>
            </w:r>
          </w:p>
        </w:tc>
      </w:tr>
      <w:tr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UAT</w:t>
            </w:r>
          </w:p>
        </w:tc>
        <w:tc>
          <w:tcPr>
            <w:tcW w:type="dxa" w:w="34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Persona-based acceptance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Product/Legal</w:t>
            </w:r>
          </w:p>
        </w:tc>
        <w:tc>
          <w:tcPr>
            <w:tcW w:type="dxa" w:w="2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Release sign-off</w:t>
            </w:r>
          </w:p>
        </w:tc>
      </w:tr>
      <w:tr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Non-functional</w:t>
            </w:r>
          </w:p>
        </w:tc>
        <w:tc>
          <w:tcPr>
            <w:tcW w:type="dxa" w:w="34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Load, soak, failover, security (DAST/pentest)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SRE/Security</w:t>
            </w:r>
          </w:p>
        </w:tc>
        <w:tc>
          <w:tcPr>
            <w:tcW w:type="dxa" w:w="2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Phase gate</w:t>
            </w:r>
          </w:p>
        </w:tc>
      </w:tr>
    </w:tbl>
    <w:p>
      <w:pPr>
        <w:pStyle w:val="Heading1"/>
      </w:pPr>
      <w:r>
        <w:t xml:space="preserve">2. Test Data Management (sensitive tiers)</w:t>
      </w:r>
    </w:p>
    <w:p>
      <w:pPr>
        <w:spacing w:after="140" w:line="276"/>
      </w:pPr>
      <w:r>
        <w:t xml:space="preserve">Real POSH and marital data must never be used in non-production environments. The platform uses synthetic and de-identified data generation.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Synthetic data generators produce realistic but fictitious parties, cases, loans and complaints — including edge cases (missing fields, limitation-edge dates, multi-party).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POSH/marital test data is fully synthetic; no production special-category data is ever copied to lower environments.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Masking/tokenisation for any production-derived data used in staging; access to test data is itself controlled and logged.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Deterministic seed sets enable reproducible test runs and the scenario library (S1–S10) as fixtures.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2E2" w:sz="1"/>
              <w:left w:val="single" w:color="9B1C1C" w:sz="24"/>
              <w:bottom w:val="single" w:color="FDE2E2" w:sz="1"/>
              <w:right w:val="single" w:color="FDE2E2" w:sz="1"/>
            </w:tcBorders>
            <w:shd w:fill="FD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Why this is a compliance control, not just hygiene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Using real harassment or marital records in test would itself be a serious breach. Synthetic-data generation for sensitive tiers is therefore listed as a control (CTRL-linked) and audited — it is part of the security posture, not merely QA convenience.</w:t>
            </w:r>
          </w:p>
        </w:tc>
      </w:tr>
    </w:tbl>
    <w:p>
      <w:pPr>
        <w:pStyle w:val="Heading1"/>
      </w:pPr>
      <w:r>
        <w:t xml:space="preserve">3. Acceptance Criteria (tied to requirements)</w:t>
      </w:r>
    </w:p>
    <w:p>
      <w:pPr>
        <w:spacing w:after="140" w:line="276"/>
      </w:pPr>
      <w:r>
        <w:t xml:space="preserve">A representative slice of the acceptance criteria, each mapped to its requirement and test case. ‘Given/When/Then’ form keeps them executable.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5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TC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REQ</w:t>
            </w:r>
          </w:p>
        </w:tc>
        <w:tc>
          <w:tcPr>
            <w:tcW w:type="dxa" w:w="5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Acceptance criterion (Given / When / Then)</w:t>
            </w:r>
          </w:p>
        </w:tc>
        <w:tc>
          <w:tcPr>
            <w:tcW w:type="dxa" w:w="1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TC-101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REQ-001</w:t>
            </w:r>
          </w:p>
        </w:tc>
        <w:tc>
          <w:tcPr>
            <w:tcW w:type="dxa" w:w="5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Given a FAMILY case, when custody is the subtype, then arbitration is not offered and non_arbitrable=true</w:t>
            </w:r>
          </w:p>
        </w:tc>
        <w:tc>
          <w:tcPr>
            <w:tcW w:type="dxa" w:w="1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Pass criteria defined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TC-110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REQ-002</w:t>
            </w:r>
          </w:p>
        </w:tc>
        <w:tc>
          <w:tcPr>
            <w:tcW w:type="dxa" w:w="5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Given a bulk file with a duplicate loan id, when ingested twice, then only one case exists (idempotent)</w:t>
            </w:r>
          </w:p>
        </w:tc>
        <w:tc>
          <w:tcPr>
            <w:tcW w:type="dxa" w:w="1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Defined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TC-115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REQ-003</w:t>
            </w:r>
          </w:p>
        </w:tc>
        <w:tc>
          <w:tcPr>
            <w:tcW w:type="dxa" w:w="5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Given a neutral linked to a party in the conflicts graph, when allocation runs, then allocation is blocked/flagged</w:t>
            </w:r>
          </w:p>
        </w:tc>
        <w:tc>
          <w:tcPr>
            <w:tcW w:type="dxa" w:w="1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Defined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TC-120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REQ-004</w:t>
            </w:r>
          </w:p>
        </w:tc>
        <w:tc>
          <w:tcPr>
            <w:tcW w:type="dxa" w:w="5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Given a POSH complaint, when a non-IC staff queries it, then complainant identity is not returned</w:t>
            </w:r>
          </w:p>
        </w:tc>
        <w:tc>
          <w:tcPr>
            <w:tcW w:type="dxa" w:w="1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Defined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TC-125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REQ-005</w:t>
            </w:r>
          </w:p>
        </w:tc>
        <w:tc>
          <w:tcPr>
            <w:tcW w:type="dxa" w:w="5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Given a failed mediation, when escalated to arbitration, then sealed mediation content is excluded from the new case</w:t>
            </w:r>
          </w:p>
        </w:tc>
        <w:tc>
          <w:tcPr>
            <w:tcW w:type="dxa" w:w="1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Defined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TC-130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REQ-006</w:t>
            </w:r>
          </w:p>
        </w:tc>
        <w:tc>
          <w:tcPr>
            <w:tcW w:type="dxa" w:w="5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Given a served notice, when delivery receipts arrive, then a service certificate is produced and hashed to audit</w:t>
            </w:r>
          </w:p>
        </w:tc>
        <w:tc>
          <w:tcPr>
            <w:tcW w:type="dxa" w:w="1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Defined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TC-135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REQ-007</w:t>
            </w:r>
          </w:p>
        </w:tc>
        <w:tc>
          <w:tcPr>
            <w:tcW w:type="dxa" w:w="5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Given a ruleset change mid-case, when the case proceeds, then it uses its pinned ruleset version</w:t>
            </w:r>
          </w:p>
        </w:tc>
        <w:tc>
          <w:tcPr>
            <w:tcW w:type="dxa" w:w="1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Defined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TC-140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REQ-008</w:t>
            </w:r>
          </w:p>
        </w:tc>
        <w:tc>
          <w:tcPr>
            <w:tcW w:type="dxa" w:w="5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Given an arbitration at pleadings-complete, when 11 months pass, then an S.29A breach-risk alert fires</w:t>
            </w:r>
          </w:p>
        </w:tc>
        <w:tc>
          <w:tcPr>
            <w:tcW w:type="dxa" w:w="1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Defined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TC-145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REQ-009</w:t>
            </w:r>
          </w:p>
        </w:tc>
        <w:tc>
          <w:tcPr>
            <w:tcW w:type="dxa" w:w="5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Given a finalised award, when signed, then e-sign + e-stamp produce a certificate of authenticity</w:t>
            </w:r>
          </w:p>
        </w:tc>
        <w:tc>
          <w:tcPr>
            <w:tcW w:type="dxa" w:w="1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Defined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TC-150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REQ-010</w:t>
            </w:r>
          </w:p>
        </w:tc>
        <w:tc>
          <w:tcPr>
            <w:tcW w:type="dxa" w:w="5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Given any state transition, when it occurs, then an immutable, hash-linked audit entry is written</w:t>
            </w:r>
          </w:p>
        </w:tc>
        <w:tc>
          <w:tcPr>
            <w:tcW w:type="dxa" w:w="1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Defined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TC-155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REQ-011</w:t>
            </w:r>
          </w:p>
        </w:tc>
        <w:tc>
          <w:tcPr>
            <w:tcW w:type="dxa" w:w="5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Given a POSH-tier case, when AI summarisation is requested, then no external model is called (private inference only)</w:t>
            </w:r>
          </w:p>
        </w:tc>
        <w:tc>
          <w:tcPr>
            <w:tcW w:type="dxa" w:w="1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Defined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TC-160</w:t>
            </w:r>
          </w:p>
        </w:tc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REQ-012</w:t>
            </w:r>
          </w:p>
        </w:tc>
        <w:tc>
          <w:tcPr>
            <w:tcW w:type="dxa" w:w="5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Given a maintenance matter, when parties file disclosure, then the Rajnesh-format affidavit fields are captured</w:t>
            </w:r>
          </w:p>
        </w:tc>
        <w:tc>
          <w:tcPr>
            <w:tcW w:type="dxa" w:w="1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Defined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7ED" w:sz="1"/>
              <w:left w:val="single" w:color="B45309" w:sz="24"/>
              <w:bottom w:val="single" w:color="FFF7ED" w:sz="1"/>
              <w:right w:val="single" w:color="FFF7ED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Negative &amp; ‘must-not’ testing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Big-4 QA tests not only that the system does what it should, but that it refuses what it must not: arbitrating custody/POSH, exposing POSH identities, proceeding without service, or letting AI change case state. These ‘must-not’ tests (TC-101, TC-120, TC-155…) are first-class and tied to controls.</w:t>
            </w:r>
          </w:p>
        </w:tc>
      </w:tr>
    </w:tbl>
    <w:p>
      <w:pPr>
        <w:pStyle w:val="Heading1"/>
      </w:pPr>
      <w:r>
        <w:t xml:space="preserve">4. UAT by Persona &amp; Release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Persona</w:t>
            </w:r>
          </w:p>
        </w:tc>
        <w:tc>
          <w:tcPr>
            <w:tcW w:type="dxa" w:w="6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UAT focus</w:t>
            </w:r>
          </w:p>
        </w:tc>
      </w:tr>
      <w:t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Claimant / Respondent</w:t>
            </w:r>
          </w:p>
        </w:tc>
        <w:tc>
          <w:tcPr>
            <w:tcW w:type="dxa" w:w="6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Intake, pay, sign, view status, join hearing</w:t>
            </w:r>
          </w:p>
        </w:tc>
      </w:tr>
      <w:t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Counsel</w:t>
            </w:r>
          </w:p>
        </w:tc>
        <w:tc>
          <w:tcPr>
            <w:tcW w:type="dxa" w:w="6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Act on behalf; filings within mandate</w:t>
            </w:r>
          </w:p>
        </w:tc>
      </w:tr>
      <w:t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Neutral (arbitrator/mediator)</w:t>
            </w:r>
          </w:p>
        </w:tc>
        <w:tc>
          <w:tcPr>
            <w:tcW w:type="dxa" w:w="6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Case room, hearings, drafting, award/MSA, Private Court</w:t>
            </w:r>
          </w:p>
        </w:tc>
      </w:tr>
      <w:t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Case manager</w:t>
            </w:r>
          </w:p>
        </w:tc>
        <w:tc>
          <w:tcPr>
            <w:tcW w:type="dxa" w:w="6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Queues, allocation, scheduling, compliance clocks</w:t>
            </w:r>
          </w:p>
        </w:tc>
      </w:tr>
      <w:t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Enterprise admin / IC</w:t>
            </w:r>
          </w:p>
        </w:tc>
        <w:tc>
          <w:tcPr>
            <w:tcW w:type="dxa" w:w="6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Clause config; POSH IC workspace; escalation</w:t>
            </w:r>
          </w:p>
        </w:tc>
      </w:tr>
      <w:t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Nodal/grievance officer</w:t>
            </w:r>
          </w:p>
        </w:tc>
        <w:tc>
          <w:tcPr>
            <w:tcW w:type="dxa" w:w="6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Intake triage; 30-day SLA; escalation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Release governance: a release passes only when all phase-gate tests pass, the RTM shows no REQ without a passing test, and security (DAST/pentest) sign-off is recorded.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Defects are triaged by severity; ‘must-not’/compliance failures are release-blocking regardless of severity.</w:t>
      </w:r>
    </w:p>
    <w:p>
      <w:pPr>
        <w:spacing w:after="80"/>
      </w:pPr>
      <w:r>
        <w:t xml:space="preserve"/>
      </w:r>
    </w:p>
    <w:p>
      <w:pPr>
        <w:spacing w:after="140" w:line="276"/>
      </w:pPr>
      <w:r>
        <w:rPr>
          <w:i/>
          <w:iCs/>
          <w:color w:val="6B7280"/>
        </w:rPr>
        <w:t xml:space="preserve">End of DOC-13 v1.0.</w:t>
      </w:r>
    </w:p>
    <w:sectPr>
      <w:headerReference w:type="default" r:id="rId7"/>
      <w:footerReference w:type="default" r:id="rId8"/>
      <w:pgSz w:w="12240" w:h="15840" w:orient="portrait"/>
      <w:pgMar w:top="1180" w:right="1320" w:bottom="118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0EA" w:sz="4" w:space="4"/>
      </w:pBdr>
      <w:spacing w:before="60"/>
      <w:jc w:val="center"/>
    </w:pPr>
    <w:r>
      <w:rPr>
        <w:color w:val="6B7280"/>
        <w:sz w:val="13"/>
        <w:szCs w:val="13"/>
      </w:rPr>
      <w:t xml:space="preserve">Confidential      Page </w:t>
    </w:r>
    <w:r>
      <w:rPr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3"/>
        <w:szCs w:val="13"/>
      </w:rPr>
      <w:t xml:space="preserve"> of </w:t>
    </w:r>
    <w:r>
      <w:rPr>
        <w:color w:val="6B72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0EA" w:sz="4" w:space="4"/>
      </w:pBdr>
      <w:spacing w:after="80"/>
      <w:jc w:val="right"/>
    </w:pPr>
    <w:r>
      <w:rPr>
        <w:b/>
        <w:bCs/>
        <w:color w:val="0B2A4A"/>
        <w:sz w:val="15"/>
        <w:szCs w:val="15"/>
      </w:rPr>
      <w:t xml:space="preserve">EQUATOR RESOLUTION</w:t>
    </w:r>
    <w:r>
      <w:rPr>
        <w:color w:val="6B7280"/>
        <w:sz w:val="15"/>
        <w:szCs w:val="15"/>
      </w:rPr>
      <w:t xml:space="preserve">   |   Test &amp; QA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E7C7B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C7B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0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12477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E7C7B"/>
      <w:sz w:val="22"/>
      <w:szCs w:val="22"/>
    </w:rPr>
  </w:style>
  <w:style w:type="paragraph" w:styleId="Hyperlink">
    <w:name w:val="Hyperlink"/>
    <w:basedOn w:val="Normal"/>
    <w:rPr>
      <w:color w:val="1F6FB2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&amp; QA Architecture</dc:title>
  <dc:creator>Equator Resolution</dc:creator>
  <cp:lastModifiedBy>Un-named</cp:lastModifiedBy>
  <cp:revision>1</cp:revision>
  <dcterms:created xsi:type="dcterms:W3CDTF">2026-06-26T06:36:23.442Z</dcterms:created>
  <dcterms:modified xsi:type="dcterms:W3CDTF">2026-06-26T06:36:23.442Z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