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30"/>
        <w:jc w:val="center"/>
      </w:pPr>
      <w:r>
        <w:rPr>
          <w:b/>
          <w:bCs/>
          <w:color w:val="0B2A4A"/>
          <w:sz w:val="48"/>
          <w:szCs w:val="48"/>
        </w:rPr>
        <w:t xml:space="preserve">EQUATOR RESOLUTION</w:t>
      </w:r>
    </w:p>
    <w:p>
      <w:pPr>
        <w:pBdr>
          <w:bottom w:val="single" w:color="0E7C7B" w:sz="12" w:space="6"/>
        </w:pBdr>
        <w:spacing w:after="220"/>
        <w:jc w:val="center"/>
      </w:pPr>
      <w:r>
        <w:rPr>
          <w:sz w:val="2"/>
          <w:szCs w:val="2"/>
        </w:rPr>
        <w:t xml:space="preserve"/>
      </w:r>
    </w:p>
    <w:p>
      <w:pPr>
        <w:spacing w:after="22"/>
        <w:jc w:val="center"/>
      </w:pPr>
      <w:r>
        <w:rPr>
          <w:b/>
          <w:bCs/>
          <w:color w:val="1F2937"/>
          <w:sz w:val="38"/>
          <w:szCs w:val="38"/>
        </w:rPr>
        <w:t xml:space="preserve">Traceability Framework &amp; Requirements Traceability Matrix</w:t>
      </w:r>
    </w:p>
    <w:p>
      <w:pPr>
        <w:spacing w:after="20"/>
        <w:jc w:val="center"/>
      </w:pPr>
      <w:r>
        <w:rPr>
          <w:color w:val="6B7280"/>
          <w:sz w:val="22"/>
          <w:szCs w:val="22"/>
        </w:rPr>
        <w:t xml:space="preserve">One spine linking objectives → requirements → architecture → data → tests → risks → controls</w:t>
      </w:r>
    </w:p>
    <w:p>
      <w:pPr>
        <w:spacing w:after="480"/>
        <w:jc w:val="center"/>
      </w:pPr>
      <w:r>
        <w:rPr>
          <w:color w:val="1F6FB2"/>
          <w:sz w:val="19"/>
          <w:szCs w:val="19"/>
        </w:rPr>
        <w:t xml:space="preserve">The audit backbone of the Equator documentation set</w:t>
      </w:r>
    </w:p>
    <w:p>
      <w:pPr>
        <w:spacing w:after="18"/>
        <w:jc w:val="center"/>
      </w:pPr>
      <w:r>
        <w:rPr>
          <w:color w:val="6B7280"/>
          <w:sz w:val="18"/>
          <w:szCs w:val="18"/>
        </w:rPr>
        <w:t xml:space="preserve">Document DOC-08  ·  Version 1.0  ·  June 2026  ·  CONFIDENTIAL</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8"/>
                <w:szCs w:val="18"/>
              </w:rPr>
              <w:t xml:space="preserve">Field</w:t>
            </w:r>
          </w:p>
        </w:tc>
        <w:tc>
          <w:tcPr>
            <w:tcW w:type="dxa" w:w="6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8"/>
                <w:szCs w:val="18"/>
              </w:rPr>
              <w:t xml:space="preserve">Detail</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Document title</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Traceability Framework &amp; RTM</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Document code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DOC-08</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Version</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1.0</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Date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June 2026</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Status</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Issued for review</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Owner (author)</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Founder / Architecture</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Reviewer</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Engineering &amp; Legal Leadership</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Approver</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Founder</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Classification</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Confidential — Internal</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Intended audience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Architecture, engineering, QA, compliance, audit</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Related documents</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See Master Index &amp; Reading Guide (DOC-00)</w:t>
            </w:r>
          </w:p>
        </w:tc>
      </w:tr>
    </w:tbl>
    <w:p>
      <w:pPr>
        <w:spacing w:after="120"/>
      </w:pPr>
      <w:r>
        <w:t xml:space="preserve"/>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the ID Scheme</w:t>
      </w:r>
    </w:p>
    <w:p>
      <w:pPr>
        <w:spacing w:after="140" w:line="276"/>
      </w:pPr>
      <w:r>
        <w:t xml:space="preserve">Big-4 / assurance-grade documentation lets any reader trace any element backwards and forwards. This document defines the identifier scheme used across the Equator pack and provides the Requirements Traceability Matrix (RTM) that links them. Every requirement should map to at least one architecture decision, one data artefact, one test case, and (where relevant) one risk and one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3760"/>
      </w:tblGrid>
      <w:tr>
        <w:trPr>
          <w:tblHeader/>
        </w:trPr>
        <w:tc>
          <w:tcPr>
            <w:tcW w:type="dxa" w:w="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Prefix</w:t>
            </w:r>
          </w:p>
        </w:tc>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Artefact</w:t>
            </w:r>
          </w:p>
        </w:tc>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Example</w:t>
            </w:r>
          </w:p>
        </w:tc>
        <w:tc>
          <w:tcPr>
            <w:tcW w:type="dxa" w:w="3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Lives in</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OBJ</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Business objective</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OBJ-03</w:t>
            </w:r>
          </w:p>
        </w:tc>
        <w:tc>
          <w:tcPr>
            <w:tcW w:type="dxa" w:w="3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Architecture §1, Investor deck</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REQ</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Requirement (functional/non-functional)</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REQ-014</w:t>
            </w:r>
          </w:p>
        </w:tc>
        <w:tc>
          <w:tcPr>
            <w:tcW w:type="dxa" w:w="3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RTM (this doc)</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ADR</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Architecture Decision Record</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ADR-007</w:t>
            </w:r>
          </w:p>
        </w:tc>
        <w:tc>
          <w:tcPr>
            <w:tcW w:type="dxa" w:w="3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Risk &amp; ADR log (DOC-09)</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DAT</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Data artefact (table/field)</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DAT-cases</w:t>
            </w:r>
          </w:p>
        </w:tc>
        <w:tc>
          <w:tcPr>
            <w:tcW w:type="dxa" w:w="3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Forms &amp; DB Spec</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TC</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Test case</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TC-101</w:t>
            </w:r>
          </w:p>
        </w:tc>
        <w:tc>
          <w:tcPr>
            <w:tcW w:type="dxa" w:w="3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Test &amp; QA architecture (DOC-13)</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RISK</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Risk</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RISK-022</w:t>
            </w:r>
          </w:p>
        </w:tc>
        <w:tc>
          <w:tcPr>
            <w:tcW w:type="dxa" w:w="3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Risk register (DOC-09)</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CTRL</w:t>
            </w:r>
          </w:p>
        </w:tc>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Control</w:t>
            </w:r>
          </w:p>
        </w:tc>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CTRL-009</w:t>
            </w:r>
          </w:p>
        </w:tc>
        <w:tc>
          <w:tcPr>
            <w:tcW w:type="dxa" w:w="3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Security &amp; Compliance pack (DOC-11)</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LAW</w:t>
            </w:r>
          </w:p>
        </w:tc>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Legal/regulatory obligation</w:t>
            </w:r>
          </w:p>
        </w:tc>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LAW-POSH-90</w:t>
            </w:r>
          </w:p>
        </w:tc>
        <w:tc>
          <w:tcPr>
            <w:tcW w:type="dxa" w:w="3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Playbooks (DOC-06/07)</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How to use the RTM</w:t>
            </w:r>
          </w:p>
          <w:p>
            <w:pPr>
              <w:spacing w:after="0"/>
            </w:pPr>
            <w:r>
              <w:rPr>
                <w:color w:val="1F2937"/>
                <w:sz w:val="19"/>
                <w:szCs w:val="19"/>
              </w:rPr>
              <w:t xml:space="preserve">Read a row left-to-right to answer ‘how is this objective delivered and proven?’; read a column to answer ‘what does this test/risk/control cover?’. When something changes, the RTM shows the blast radius. Keep it as living data (a spreadsheet companion can be generated from this table).</w:t>
            </w:r>
          </w:p>
        </w:tc>
      </w:tr>
    </w:tbl>
    <w:p>
      <w:pPr>
        <w:pStyle w:val="Heading1"/>
      </w:pPr>
      <w:r>
        <w:t xml:space="preserve">2. Business Objectives (OBJ)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ID</w:t>
            </w:r>
          </w:p>
        </w:tc>
        <w:tc>
          <w:tcPr>
            <w:tcW w:type="dxa" w:w="8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7"/>
                <w:szCs w:val="17"/>
              </w:rPr>
              <w:t xml:space="preserve">Objective</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OBJ-01</w:t>
            </w:r>
          </w:p>
        </w:tc>
        <w:tc>
          <w:tcPr>
            <w:tcW w:type="dxa" w:w="8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Resolve marital, NBFC, commercial and grievance/POSH disputes on one compliant ODR platform.</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OBJ-02</w:t>
            </w:r>
          </w:p>
        </w:tc>
        <w:tc>
          <w:tcPr>
            <w:tcW w:type="dxa" w:w="8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Run both a managed institution (EDRS) and neutral-facing Private Court on shared rails.</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OBJ-03</w:t>
            </w:r>
          </w:p>
        </w:tc>
        <w:tc>
          <w:tcPr>
            <w:tcW w:type="dxa" w:w="8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Make regulatory compliance configurable (India-first, global-ready).</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OBJ-04</w:t>
            </w:r>
          </w:p>
        </w:tc>
        <w:tc>
          <w:tcPr>
            <w:tcW w:type="dxa" w:w="8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Resolve NBFC disputes at volume via clause-driven, bulk intake.</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OBJ-05</w:t>
            </w:r>
          </w:p>
        </w:tc>
        <w:tc>
          <w:tcPr>
            <w:tcW w:type="dxa" w:w="8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Protect the most sensitive data (POSH, marital) to the highest standard.</w:t>
            </w:r>
          </w:p>
        </w:tc>
      </w:tr>
      <w:tr>
        <w:tc>
          <w:tcPr>
            <w:tcW w:type="dxa" w:w="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OBJ-06</w:t>
            </w:r>
          </w:p>
        </w:tc>
        <w:tc>
          <w:tcPr>
            <w:tcW w:type="dxa" w:w="8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6"/>
                <w:szCs w:val="16"/>
              </w:rPr>
              <w:t xml:space="preserve">Seed neutral supply via the Academy and empanelment.</w:t>
            </w:r>
          </w:p>
        </w:tc>
      </w:tr>
      <w:tr>
        <w:tc>
          <w:tcPr>
            <w:tcW w:type="dxa" w:w="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OBJ-07</w:t>
            </w:r>
          </w:p>
        </w:tc>
        <w:tc>
          <w:tcPr>
            <w:tcW w:type="dxa" w:w="8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6"/>
                <w:szCs w:val="16"/>
              </w:rPr>
              <w:t xml:space="preserve">Produce enforceable outcomes (MSAs/awards) that survive challenge.</w:t>
            </w:r>
          </w:p>
        </w:tc>
      </w:tr>
    </w:tbl>
    <w:p>
      <w:pPr>
        <w:pStyle w:val="Heading1"/>
      </w:pPr>
      <w:r>
        <w:t xml:space="preserve">3. Requirements Traceability Matrix (RTM)</w:t>
      </w:r>
    </w:p>
    <w:p>
      <w:pPr>
        <w:spacing w:after="140" w:line="276"/>
      </w:pPr>
      <w:r>
        <w:t xml:space="preserve">A representative, structured slice of the full matrix. The full RTM is maintained as living data; this is the canonical extract that demonstrates end-to-end coverage.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700"/>
        <w:gridCol w:w="800"/>
        <w:gridCol w:w="1900"/>
        <w:gridCol w:w="700"/>
        <w:gridCol w:w="700"/>
        <w:gridCol w:w="1360"/>
      </w:tblGrid>
      <w:tr>
        <w:trPr>
          <w:tblHeader/>
        </w:trPr>
        <w:tc>
          <w:tcPr>
            <w:tcW w:type="dxa" w:w="8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REQ</w:t>
            </w:r>
          </w:p>
        </w:tc>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Requirement</w:t>
            </w:r>
          </w:p>
        </w:tc>
        <w:tc>
          <w:tcPr>
            <w:tcW w:type="dxa" w:w="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OBJ</w:t>
            </w:r>
          </w:p>
        </w:tc>
        <w:tc>
          <w:tcPr>
            <w:tcW w:type="dxa" w:w="8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ADR</w:t>
            </w:r>
          </w:p>
        </w:tc>
        <w:tc>
          <w:tcPr>
            <w:tcW w:type="dxa" w:w="1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Data (DAT)</w:t>
            </w:r>
          </w:p>
        </w:tc>
        <w:tc>
          <w:tcPr>
            <w:tcW w:type="dxa" w:w="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Test (TC)</w:t>
            </w:r>
          </w:p>
        </w:tc>
        <w:tc>
          <w:tcPr>
            <w:tcW w:type="dxa" w:w="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Risk</w:t>
            </w:r>
          </w:p>
        </w:tc>
        <w:tc>
          <w:tcPr>
            <w:tcW w:type="dxa" w:w="13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3"/>
                <w:szCs w:val="13"/>
              </w:rPr>
              <w:t xml:space="preserve">Control / Law</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REQ-001</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Configurable case state machine per pillar</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01,03</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ADR-001</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workflow_states</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TC-101</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RISK-003</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REQ-002</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Bulk NBFC intake (idempotent on loan id)</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04</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ADR-004</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bulk batch, cases</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TC-110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RISK-006</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REQ-003</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Round-robin neutral allocation + conflict check</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01,07</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ADR-002</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assignments, conflict_*</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TC-115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RISK-004</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CTRL-002</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REQ-004</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Confidentiality tiers w/ field encryption (POSH)</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05</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ADR-006</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cases.confidentiality_tier</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TC-120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RISK-003</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CTRL-001, LAW-POSH</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REQ-005</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Escalation contract on stage/domain hand-off</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01,07</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ADR-008</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escalation_contracts</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TC-125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RISK-002</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CTRL-005</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REQ-006</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Service-of-process w/ proof &amp; certificate</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04,07</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ADR-009</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service_*</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TC-130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RISK-002</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CTRL-006, LAW-NBFC</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REQ-007</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Ruleset versioning &amp; case pinning</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03</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ADR-010</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ruleset_versions</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TC-135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RISK-001</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CTRL-007</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REQ-008</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Statutory clocks &amp; breach alerts</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03,07</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ADR-011</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compliance_clock</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TC-140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RISK-001</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LAW-29A, LAW-POSH-90</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REQ-009</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Certified e-sign + e-stamp on outcomes</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07</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ADR-005</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esign, awards/MSA</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TC-145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RISK-002</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CTRL-006</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REQ-010</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Immutable, hash-chained audit</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05,07</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ADR-007</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audit_entries</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TC-150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RISK-003</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CTRL-003</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REQ-011</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AI advisory-only with provenance &amp; tier policy</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05</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ADR-012</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ai_outputs, model_registry</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TC-155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RISK-008</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CTRL-008</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REQ-012</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Maintenance disclosure (Rajnesh v Neha)</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01</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ADR-013</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maintenance_worksheet</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TC-160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LAW-RAJNESH</w:t>
            </w:r>
          </w:p>
        </w:tc>
      </w:tr>
      <w:tr>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REQ-013</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Data residency (India in India)</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03,05</w:t>
            </w:r>
          </w:p>
        </w:tc>
        <w:tc>
          <w:tcPr>
            <w:tcW w:type="dxa" w:w="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ADR-014</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tenants.residency_zone</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TC-165</w:t>
            </w:r>
          </w:p>
        </w:tc>
        <w:tc>
          <w:tcPr>
            <w:tcW w:type="dxa" w:w="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RISK-009</w:t>
            </w:r>
          </w:p>
        </w:tc>
        <w:tc>
          <w:tcPr>
            <w:tcW w:type="dxa" w:w="1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2"/>
                <w:szCs w:val="12"/>
              </w:rPr>
              <w:t xml:space="preserve">CTRL-004, LAW-DPDP</w:t>
            </w:r>
          </w:p>
        </w:tc>
      </w:tr>
      <w:tr>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REQ-014</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Multi-party / consolidation</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01</w:t>
            </w:r>
          </w:p>
        </w:tc>
        <w:tc>
          <w:tcPr>
            <w:tcW w:type="dxa" w:w="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ADR-015</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case_groups, case_relationships</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TC-170</w:t>
            </w:r>
          </w:p>
        </w:tc>
        <w:tc>
          <w:tcPr>
            <w:tcW w:type="dxa" w:w="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RISK-007</w:t>
            </w:r>
          </w:p>
        </w:tc>
        <w:tc>
          <w:tcPr>
            <w:tcW w:type="dxa" w:w="1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2"/>
                <w:szCs w:val="12"/>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Coverage statement</w:t>
            </w:r>
          </w:p>
          <w:p>
            <w:pPr>
              <w:spacing w:after="0"/>
            </w:pPr>
            <w:r>
              <w:rPr>
                <w:color w:val="1F2937"/>
                <w:sz w:val="19"/>
                <w:szCs w:val="19"/>
              </w:rPr>
              <w:t xml:space="preserve">Every OBJ above is delivered by ≥1 REQ; every REQ maps to an ADR, a data artefact and a test case; sensitive and statutory REQs additionally map to a control and/or a legal obligation. Gaps (a REQ with no test, a risk with no control) are the audit findings to close — none are open in this extract.</w:t>
            </w:r>
          </w:p>
        </w:tc>
      </w:tr>
    </w:tbl>
    <w:p>
      <w:pPr>
        <w:pStyle w:val="Heading1"/>
      </w:pPr>
      <w:r>
        <w:t xml:space="preserve">4. Maintaining Traceability</w:t>
      </w:r>
    </w:p>
    <w:p>
      <w:pPr>
        <w:pStyle w:val="ListParagraph"/>
        <w:numPr>
          <w:ilvl w:val="0"/>
          <w:numId w:val="2"/>
        </w:numPr>
        <w:spacing w:after="60" w:line="268"/>
      </w:pPr>
      <w:r>
        <w:t xml:space="preserve">New requirement → assign REQ id, add the row, link forward to ADR/DAT/TC and (if relevant) RISK/CTRL/LAW.</w:t>
      </w:r>
    </w:p>
    <w:p>
      <w:pPr>
        <w:pStyle w:val="ListParagraph"/>
        <w:numPr>
          <w:ilvl w:val="0"/>
          <w:numId w:val="2"/>
        </w:numPr>
        <w:spacing w:after="60" w:line="268"/>
      </w:pPr>
      <w:r>
        <w:t xml:space="preserve">Changed decision → update the ADR, then check every REQ that references it.</w:t>
      </w:r>
    </w:p>
    <w:p>
      <w:pPr>
        <w:pStyle w:val="ListParagraph"/>
        <w:numPr>
          <w:ilvl w:val="0"/>
          <w:numId w:val="2"/>
        </w:numPr>
        <w:spacing w:after="60" w:line="268"/>
      </w:pPr>
      <w:r>
        <w:t xml:space="preserve">New regulation → new LAW id + ruleset version (ADR-010 pattern); update the affected REQ rows.</w:t>
      </w:r>
    </w:p>
    <w:p>
      <w:pPr>
        <w:pStyle w:val="ListParagraph"/>
        <w:numPr>
          <w:ilvl w:val="0"/>
          <w:numId w:val="2"/>
        </w:numPr>
        <w:spacing w:after="60" w:line="268"/>
      </w:pPr>
      <w:r>
        <w:t xml:space="preserve">Review cadence: RTM reviewed at each phase gate; coverage report (REQs without tests/controls) generated for the architecture review board.</w:t>
      </w:r>
    </w:p>
    <w:p>
      <w:pPr>
        <w:spacing w:after="80"/>
      </w:pPr>
      <w:r>
        <w:t xml:space="preserve"/>
      </w:r>
    </w:p>
    <w:p>
      <w:pPr>
        <w:spacing w:after="140" w:line="276"/>
      </w:pPr>
      <w:r>
        <w:rPr>
          <w:i/>
          <w:iCs/>
          <w:color w:val="6B7280"/>
        </w:rPr>
        <w:t xml:space="preserve">End of DOC-08 v1.0.</w:t>
      </w:r>
    </w:p>
    <w:sectPr>
      <w:headerReference w:type="default" r:id="rId7"/>
      <w:footerReference w:type="default" r:id="rId8"/>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4"/>
      </w:pBdr>
      <w:spacing w:before="60"/>
      <w:jc w:val="center"/>
    </w:pPr>
    <w:r>
      <w:rPr>
        <w:color w:val="6B7280"/>
        <w:sz w:val="13"/>
        <w:szCs w:val="13"/>
      </w:rPr>
      <w:t xml:space="preserve">Confidential      Page </w:t>
    </w:r>
    <w:r>
      <w:rPr>
        <w:color w:val="6B7280"/>
        <w:sz w:val="14"/>
        <w:szCs w:val="14"/>
      </w:rPr>
      <w:fldChar w:fldCharType="begin"/>
      <w:instrText xml:space="preserve">PAGE</w:instrText>
      <w:fldChar w:fldCharType="separate"/>
      <w:fldChar w:fldCharType="end"/>
    </w:r>
    <w:r>
      <w:rPr>
        <w:color w:val="6B7280"/>
        <w:sz w:val="13"/>
        <w:szCs w:val="13"/>
      </w:rPr>
      <w:t xml:space="preserve"> of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4" w:space="4"/>
      </w:pBdr>
      <w:spacing w:after="80"/>
      <w:jc w:val="right"/>
    </w:pPr>
    <w:r>
      <w:rPr>
        <w:b/>
        <w:bCs/>
        <w:color w:val="0B2A4A"/>
        <w:sz w:val="15"/>
        <w:szCs w:val="15"/>
      </w:rPr>
      <w:t xml:space="preserve">EQUATOR RESOLUTION</w:t>
    </w:r>
    <w:r>
      <w:rPr>
        <w:color w:val="6B7280"/>
        <w:sz w:val="15"/>
        <w:szCs w:val="15"/>
      </w:rPr>
      <w:t xml:space="preserve">   |   Traceability &amp; RTM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60" w:before="280"/>
      <w:outlineLvl w:val="0"/>
    </w:pPr>
    <w:rPr>
      <w:rFonts w:ascii="Calibri" w:cs="Calibri" w:eastAsia="Calibri" w:hAnsi="Calibri"/>
      <w:b/>
      <w:bCs/>
      <w:color w:val="0B2A4A"/>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2477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E7C7B"/>
      <w:sz w:val="22"/>
      <w:szCs w:val="22"/>
    </w:rPr>
  </w:style>
  <w:style w:type="paragraph" w:styleId="Hyperlink">
    <w:name w:val="Hyperlink"/>
    <w:basedOn w:val="Normal"/>
    <w:rPr>
      <w:color w:val="1F6FB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Traceability &amp; RTM</dc:title>
  <dc:creator>Equator Resolution</dc:creator>
  <cp:lastModifiedBy>Un-named</cp:lastModifiedBy>
  <cp:revision>1</cp:revision>
  <dcterms:created xsi:type="dcterms:W3CDTF">2026-06-26T06:30:43.211Z</dcterms:created>
  <dcterms:modified xsi:type="dcterms:W3CDTF">2026-06-26T06:30:43.211Z</dcterms:modified>
</cp:coreProperties>
</file>

<file path=docProps/custom.xml><?xml version="1.0" encoding="utf-8"?>
<Properties xmlns="http://schemas.openxmlformats.org/officeDocument/2006/custom-properties" xmlns:vt="http://schemas.openxmlformats.org/officeDocument/2006/docPropsVTypes"/>
</file>