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jc w:val="center"/>
      </w:pPr>
      <w:r>
        <w:rPr>
          <w:rFonts w:ascii="Calibri" w:hAnsi="Calibri"/>
          <w:b/>
          <w:i w:val="0"/>
          <w:color w:val="123B4F"/>
          <w:sz w:val="60"/>
        </w:rPr>
        <w:t>EQUATOR RESOLUTION</w:t>
      </w:r>
    </w:p>
    <w:p>
      <w:pPr>
        <w:spacing w:after="40"/>
        <w:jc w:val="center"/>
      </w:pPr>
      <w:r>
        <w:rPr>
          <w:rFonts w:ascii="Calibri" w:hAnsi="Calibri"/>
          <w:b w:val="0"/>
          <w:i/>
          <w:color w:val="1E7A8C"/>
          <w:sz w:val="25"/>
        </w:rPr>
        <w:t>Institutional Arbitration &amp; Mediation</w:t>
      </w:r>
    </w:p>
    <w:p>
      <w:pPr>
        <w:jc w:val="center"/>
        <w:pBdr>
          <w:bottom w:val="single" w:sz="18" w:space="3" w:color="C6A15B"/>
        </w:pBdr>
      </w:pPr>
      <w:r>
        <w:rPr>
          <w:rFonts w:ascii="Calibri" w:hAnsi="Calibri"/>
          <w:b w:val="0"/>
          <w:i w:val="0"/>
          <w:color w:val="556168"/>
          <w:sz w:val="19"/>
        </w:rPr>
        <w:t>www.equatorresolution.com   ·   An Infrabyx Group Venture</w:t>
      </w:r>
    </w:p>
    <w:p>
      <w:pPr>
        <w:spacing w:after="200"/>
      </w:pPr>
    </w:p>
    <w:p>
      <w:pPr>
        <w:spacing w:after="200"/>
      </w:pPr>
    </w:p>
    <w:p>
      <w:pPr>
        <w:spacing w:after="80"/>
        <w:jc w:val="center"/>
      </w:pPr>
      <w:r>
        <w:rPr>
          <w:rFonts w:ascii="Calibri" w:hAnsi="Calibri"/>
          <w:b/>
          <w:i w:val="0"/>
          <w:color w:val="123B4F"/>
          <w:sz w:val="48"/>
        </w:rPr>
        <w:t>Commercial &amp; Business Dispute Resolution</w:t>
      </w:r>
    </w:p>
    <w:p>
      <w:pPr>
        <w:jc w:val="center"/>
      </w:pPr>
      <w:r>
        <w:rPr>
          <w:rFonts w:ascii="Calibri" w:hAnsi="Calibri"/>
          <w:b w:val="0"/>
          <w:i w:val="0"/>
          <w:color w:val="1E7A8C"/>
          <w:sz w:val="30"/>
        </w:rPr>
        <w:t>Platform Design, Legal Framework &amp; Operating Blueprint</w:t>
      </w:r>
    </w:p>
    <w:p>
      <w:pPr>
        <w:spacing w:before="120"/>
        <w:jc w:val="center"/>
      </w:pPr>
      <w:r>
        <w:rPr>
          <w:rFonts w:ascii="Calibri" w:hAnsi="Calibri"/>
          <w:b w:val="0"/>
          <w:i/>
          <w:color w:val="1B2A32"/>
          <w:sz w:val="22"/>
        </w:rPr>
        <w:t>Arbitration, mediation and MSME resolution for contract, commercial, MSME, company</w:t>
        <w:br/>
        <w:t>and transaction disputes — faster, enforceable, and delivered end-to-end online.</w:t>
      </w:r>
    </w:p>
    <w:p>
      <w:pPr>
        <w:spacing w:after="200"/>
      </w:pPr>
    </w:p>
    <w:p>
      <w:pPr>
        <w:spacing w:after="200"/>
      </w:pPr>
    </w:p>
    <w:p>
      <w:pPr>
        <w:spacing w:after="200"/>
      </w:pPr>
    </w:p>
    <w:tbl>
      <w:tblPr>
        <w:tblW w:type="auto" w:w="0"/>
        <w:jc w:val="center"/>
        <w:tblLayout w:type="fixed"/>
        <w:tblLook w:firstColumn="1" w:firstRow="1" w:lastColumn="0" w:lastRow="0" w:noHBand="0" w:noVBand="1" w:val="04A0"/>
        <w:tblBorders>
          <w:top w:val="single" w:sz="6" w:space="0" w:color="C6A15B"/>
          <w:left w:val="single" w:sz="6" w:space="0" w:color="C6A15B"/>
          <w:bottom w:val="single" w:sz="6" w:space="0" w:color="C6A15B"/>
          <w:right w:val="single" w:sz="6" w:space="0" w:color="C6A15B"/>
          <w:insideH w:val="single" w:sz="6" w:space="0" w:color="C6A15B"/>
          <w:insideV w:val="single" w:sz="6" w:space="0" w:color="C6A15B"/>
        </w:tblBorders>
      </w:tblPr>
      <w:tblGrid>
        <w:gridCol w:w="4752"/>
        <w:gridCol w:w="4752"/>
      </w:tblGrid>
      <w:tr>
        <w:tc>
          <w:tcPr>
            <w:tcW w:type="dxa" w:w="3024"/>
            <w:shd w:val="clear" w:color="auto" w:fill="123B4F"/>
            <w:tcMar>
              <w:top w:w="60" w:type="dxa"/>
              <w:bottom w:w="60" w:type="dxa"/>
              <w:start w:w="110" w:type="dxa"/>
              <w:end w:w="110" w:type="dxa"/>
            </w:tcMar>
          </w:tcPr>
          <w:p>
            <w:r>
              <w:rPr>
                <w:rFonts w:ascii="Calibri" w:hAnsi="Calibri"/>
                <w:b/>
                <w:i w:val="0"/>
                <w:color w:val="FFFFFF"/>
                <w:sz w:val="19"/>
              </w:rPr>
              <w:t>Document</w:t>
            </w:r>
          </w:p>
          <w:p>
            <w:r>
              <w:rPr>
                <w:rFonts w:ascii="Calibri" w:hAnsi="Calibri"/>
                <w:b/>
                <w:i w:val="0"/>
                <w:color w:val="FFFFFF"/>
                <w:sz w:val="19"/>
              </w:rPr>
              <w:t>Version / Date</w:t>
            </w:r>
          </w:p>
          <w:p>
            <w:r>
              <w:rPr>
                <w:rFonts w:ascii="Calibri" w:hAnsi="Calibri"/>
                <w:b/>
                <w:i w:val="0"/>
                <w:color w:val="FFFFFF"/>
                <w:sz w:val="19"/>
              </w:rPr>
              <w:t>Prepared for</w:t>
            </w:r>
          </w:p>
          <w:p>
            <w:r>
              <w:rPr>
                <w:rFonts w:ascii="Calibri" w:hAnsi="Calibri"/>
                <w:b/>
                <w:i w:val="0"/>
                <w:color w:val="FFFFFF"/>
                <w:sz w:val="19"/>
              </w:rPr>
              <w:t>Regulatory basis</w:t>
            </w:r>
          </w:p>
          <w:p>
            <w:r>
              <w:rPr>
                <w:rFonts w:ascii="Calibri" w:hAnsi="Calibri"/>
                <w:b/>
                <w:i w:val="0"/>
                <w:color w:val="FFFFFF"/>
                <w:sz w:val="19"/>
              </w:rPr>
              <w:t>Classification</w:t>
            </w:r>
          </w:p>
          <w:p>
            <w:r>
              <w:rPr>
                <w:rFonts w:ascii="Calibri" w:hAnsi="Calibri"/>
                <w:b/>
                <w:i w:val="0"/>
                <w:color w:val="FFFFFF"/>
                <w:sz w:val="19"/>
              </w:rPr>
              <w:t>Companion assets</w:t>
            </w:r>
          </w:p>
        </w:tc>
        <w:tc>
          <w:tcPr>
            <w:tcW w:type="dxa" w:w="6336"/>
            <w:shd w:val="clear" w:color="auto" w:fill="DCEAEF"/>
            <w:tcMar>
              <w:top w:w="60" w:type="dxa"/>
              <w:bottom w:w="60" w:type="dxa"/>
              <w:start w:w="110" w:type="dxa"/>
              <w:end w:w="110" w:type="dxa"/>
            </w:tcMar>
          </w:tcPr>
          <w:p>
            <w:r>
              <w:rPr>
                <w:rFonts w:ascii="Calibri" w:hAnsi="Calibri"/>
                <w:b w:val="0"/>
                <w:i w:val="0"/>
                <w:color w:val="1B2A32"/>
                <w:sz w:val="19"/>
              </w:rPr>
              <w:t>Master Blueprint — Commercial Vertical</w:t>
            </w:r>
          </w:p>
          <w:p>
            <w:r>
              <w:rPr>
                <w:rFonts w:ascii="Calibri" w:hAnsi="Calibri"/>
                <w:b w:val="0"/>
                <w:i w:val="0"/>
                <w:color w:val="1B2A32"/>
                <w:sz w:val="19"/>
              </w:rPr>
              <w:t>Version 1.0  ·  July 2026</w:t>
            </w:r>
          </w:p>
          <w:p>
            <w:r>
              <w:rPr>
                <w:rFonts w:ascii="Calibri" w:hAnsi="Calibri"/>
                <w:b w:val="0"/>
                <w:i w:val="0"/>
                <w:color w:val="1B2A32"/>
                <w:sz w:val="19"/>
              </w:rPr>
              <w:t>Equator Resolution (Infrabyx Group)</w:t>
            </w:r>
          </w:p>
          <w:p>
            <w:r>
              <w:rPr>
                <w:rFonts w:ascii="Calibri" w:hAnsi="Calibri"/>
                <w:b w:val="0"/>
                <w:i w:val="0"/>
                <w:color w:val="1B2A32"/>
                <w:sz w:val="19"/>
              </w:rPr>
              <w:t>Arbitration &amp; Conciliation Act 1996; Mediation Act 2023; Commercial Courts Act 2015; MSMED Act 2006</w:t>
            </w:r>
          </w:p>
          <w:p>
            <w:r>
              <w:rPr>
                <w:rFonts w:ascii="Calibri" w:hAnsi="Calibri"/>
                <w:b w:val="0"/>
                <w:i w:val="0"/>
                <w:color w:val="1B2A32"/>
                <w:sz w:val="19"/>
              </w:rPr>
              <w:t>Strictly Confidential — Internal &amp; Advisory</w:t>
            </w:r>
          </w:p>
          <w:p>
            <w:r>
              <w:rPr>
                <w:rFonts w:ascii="Calibri" w:hAnsi="Calibri"/>
                <w:b w:val="0"/>
                <w:i w:val="0"/>
                <w:color w:val="1B2A32"/>
                <w:sz w:val="19"/>
              </w:rPr>
              <w:t>Forms Pack · Developer Workbook · Diagrams · Calculators · Deck · Prototype</w:t>
            </w:r>
          </w:p>
        </w:tc>
      </w:tr>
    </w:tbl>
    <w:p>
      <w:r>
        <w:br w:type="page"/>
      </w:r>
    </w:p>
    <w:p>
      <w:pPr>
        <w:keepNext/>
        <w:spacing w:before="320" w:after="140"/>
        <w:pBdr>
          <w:bottom w:val="single" w:sz="12" w:space="3" w:color="C6A15B"/>
        </w:pBdr>
      </w:pPr>
      <w:r>
        <w:rPr>
          <w:rFonts w:ascii="Calibri" w:hAnsi="Calibri"/>
          <w:b/>
          <w:i w:val="0"/>
          <w:color w:val="123B4F"/>
          <w:sz w:val="34"/>
        </w:rPr>
        <w:t>Important Notice, Scope &amp; How to Use This Document</w:t>
      </w:r>
    </w:p>
    <w:p>
      <w:pPr>
        <w:spacing w:after="140"/>
        <w:jc w:val="both"/>
      </w:pPr>
      <w:r>
        <w:rPr>
          <w:rFonts w:ascii="Calibri" w:hAnsi="Calibri"/>
          <w:b w:val="0"/>
          <w:i w:val="0"/>
          <w:color w:val="1B2A32"/>
          <w:sz w:val="21"/>
        </w:rPr>
        <w:t xml:space="preserve">This Blueprint guides the build-out and operation of Equator Resolution's </w:t>
      </w:r>
      <w:r>
        <w:rPr>
          <w:rFonts w:ascii="Calibri" w:hAnsi="Calibri"/>
          <w:b/>
          <w:i w:val="0"/>
          <w:color w:val="1B2A32"/>
          <w:sz w:val="21"/>
        </w:rPr>
        <w:t>Commercial &amp; Business Dispute Resolution</w:t>
      </w:r>
      <w:r>
        <w:rPr>
          <w:rFonts w:ascii="Calibri" w:hAnsi="Calibri"/>
          <w:b w:val="0"/>
          <w:i w:val="0"/>
          <w:color w:val="1B2A32"/>
          <w:sz w:val="21"/>
        </w:rPr>
        <w:t xml:space="preserve"> vertical. It frames the market and regulatory </w:t>
      </w:r>
      <w:r>
        <w:rPr>
          <w:rFonts w:ascii="Calibri" w:hAnsi="Calibri"/>
          <w:b/>
          <w:i w:val="0"/>
          <w:color w:val="1B2A32"/>
          <w:sz w:val="21"/>
        </w:rPr>
        <w:t>opportunity</w:t>
      </w:r>
      <w:r>
        <w:rPr>
          <w:rFonts w:ascii="Calibri" w:hAnsi="Calibri"/>
          <w:b w:val="0"/>
          <w:i w:val="0"/>
          <w:color w:val="1B2A32"/>
          <w:sz w:val="21"/>
        </w:rPr>
        <w:t xml:space="preserve">; sets out the </w:t>
      </w:r>
      <w:r>
        <w:rPr>
          <w:rFonts w:ascii="Calibri" w:hAnsi="Calibri"/>
          <w:b/>
          <w:i w:val="0"/>
          <w:color w:val="1B2A32"/>
          <w:sz w:val="21"/>
        </w:rPr>
        <w:t>legal framework</w:t>
      </w:r>
      <w:r>
        <w:rPr>
          <w:rFonts w:ascii="Calibri" w:hAnsi="Calibri"/>
          <w:b w:val="0"/>
          <w:i w:val="0"/>
          <w:color w:val="1B2A32"/>
          <w:sz w:val="21"/>
        </w:rPr>
        <w:t xml:space="preserve"> governing commercial arbitration, mediation and MSME resolution in India; and specifies the </w:t>
      </w:r>
      <w:r>
        <w:rPr>
          <w:rFonts w:ascii="Calibri" w:hAnsi="Calibri"/>
          <w:b/>
          <w:i w:val="0"/>
          <w:color w:val="1B2A32"/>
          <w:sz w:val="21"/>
        </w:rPr>
        <w:t>platform, forms and procedure</w:t>
      </w:r>
      <w:r>
        <w:rPr>
          <w:rFonts w:ascii="Calibri" w:hAnsi="Calibri"/>
          <w:b w:val="0"/>
          <w:i w:val="0"/>
          <w:color w:val="1B2A32"/>
          <w:sz w:val="21"/>
        </w:rPr>
        <w:t xml:space="preserve"> the product and operations teams will implement. Unlike the family vertical, this vertical runs two primary mechanisms — </w:t>
      </w:r>
      <w:r>
        <w:rPr>
          <w:rFonts w:ascii="Calibri" w:hAnsi="Calibri"/>
          <w:b/>
          <w:i w:val="0"/>
          <w:color w:val="1B2A32"/>
          <w:sz w:val="21"/>
        </w:rPr>
        <w:t>arbitration</w:t>
      </w:r>
      <w:r>
        <w:rPr>
          <w:rFonts w:ascii="Calibri" w:hAnsi="Calibri"/>
          <w:b w:val="0"/>
          <w:i w:val="0"/>
          <w:color w:val="1B2A32"/>
          <w:sz w:val="21"/>
        </w:rPr>
        <w:t xml:space="preserve"> (binding, award-based) and </w:t>
      </w:r>
      <w:r>
        <w:rPr>
          <w:rFonts w:ascii="Calibri" w:hAnsi="Calibri"/>
          <w:b/>
          <w:i w:val="0"/>
          <w:color w:val="1B2A32"/>
          <w:sz w:val="21"/>
        </w:rPr>
        <w:t>mediation</w:t>
      </w:r>
      <w:r>
        <w:rPr>
          <w:rFonts w:ascii="Calibri" w:hAnsi="Calibri"/>
          <w:b w:val="0"/>
          <w:i w:val="0"/>
          <w:color w:val="1B2A32"/>
          <w:sz w:val="21"/>
        </w:rPr>
        <w:t xml:space="preserve"> (settlement-based) — plus the </w:t>
      </w:r>
      <w:r>
        <w:rPr>
          <w:rFonts w:ascii="Calibri" w:hAnsi="Calibri"/>
          <w:b/>
          <w:i w:val="0"/>
          <w:color w:val="1B2A32"/>
          <w:sz w:val="21"/>
        </w:rPr>
        <w:t>MSME</w:t>
      </w:r>
      <w:r>
        <w:rPr>
          <w:rFonts w:ascii="Calibri" w:hAnsi="Calibri"/>
          <w:b w:val="0"/>
          <w:i w:val="0"/>
          <w:color w:val="1B2A32"/>
          <w:sz w:val="21"/>
        </w:rPr>
        <w:t xml:space="preserve"> statutory route.</w:t>
      </w:r>
    </w:p>
    <w:p>
      <w:pPr>
        <w:spacing w:after="140"/>
        <w:jc w:val="both"/>
      </w:pPr>
      <w:r>
        <w:rPr>
          <w:rFonts w:ascii="Calibri" w:hAnsi="Calibri"/>
          <w:b w:val="0"/>
          <w:i w:val="0"/>
          <w:color w:val="1B2A32"/>
          <w:sz w:val="21"/>
        </w:rPr>
        <w:t xml:space="preserve">The legal content is </w:t>
      </w:r>
      <w:r>
        <w:rPr>
          <w:rFonts w:ascii="Calibri" w:hAnsi="Calibri"/>
          <w:b/>
          <w:i w:val="0"/>
          <w:color w:val="1B2A32"/>
          <w:sz w:val="21"/>
        </w:rPr>
        <w:t>layered</w:t>
      </w:r>
      <w:r>
        <w:rPr>
          <w:rFonts w:ascii="Calibri" w:hAnsi="Calibri"/>
          <w:b w:val="0"/>
          <w:i w:val="0"/>
          <w:color w:val="1B2A32"/>
          <w:sz w:val="21"/>
        </w:rPr>
        <w:t>: each area opens with a plain-language summary, followed by deeper analysis, with statutes and leading cases flagged in “Legal Basis” boxes and consolidated in the annexures. The law stated reflects the position as of July 2026, including the Arbitration &amp; Conciliation Act, 1996 (as amended in 2015, 2019 and 2021, and the pending draft Amendment Bill, 2024), the Mediation Act, 2023, and the mandatory pre-institution mediation regime under the Commercial Courts Act, 2015.</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This document is not a substitute for case-specific legal advice. Equator operates as a neutral </w:t>
            </w:r>
            <w:r>
              <w:rPr>
                <w:rFonts w:ascii="Calibri" w:hAnsi="Calibri"/>
                <w:b/>
                <w:i w:val="0"/>
                <w:color w:val="1B2A32"/>
                <w:sz w:val="20"/>
              </w:rPr>
              <w:t>arbitral and mediation institution</w:t>
            </w:r>
            <w:r>
              <w:rPr>
                <w:rFonts w:ascii="Calibri" w:hAnsi="Calibri"/>
                <w:b w:val="0"/>
                <w:i w:val="0"/>
                <w:color w:val="1B2A32"/>
                <w:sz w:val="20"/>
              </w:rPr>
              <w:t>; it administers proceedings, it does not represent parties or practise law. Arbitral awards and mediated settlements take effect and are enforced through the framework of the governing Acts and the courts.</w:t>
            </w:r>
          </w:p>
        </w:tc>
      </w:tr>
    </w:tbl>
    <w:p>
      <w:pPr>
        <w:spacing w:after="120"/>
      </w:pPr>
    </w:p>
    <w:p>
      <w:pPr>
        <w:keepNext/>
        <w:spacing w:before="220" w:after="80"/>
      </w:pPr>
      <w:r>
        <w:rPr>
          <w:rFonts w:ascii="Calibri" w:hAnsi="Calibri"/>
          <w:b/>
          <w:i w:val="0"/>
          <w:color w:val="1E7A8C"/>
          <w:sz w:val="26"/>
        </w:rPr>
        <w:t>Document control &amp; approval</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Item</w:t>
            </w:r>
          </w:p>
        </w:tc>
        <w:tc>
          <w:tcPr>
            <w:tcW w:type="dxa" w:w="7223"/>
            <w:shd w:val="clear" w:color="auto" w:fill="123B4F"/>
            <w:tcMar>
              <w:top w:w="60" w:type="dxa"/>
              <w:bottom w:w="60" w:type="dxa"/>
              <w:start w:w="110" w:type="dxa"/>
              <w:end w:w="110" w:type="dxa"/>
            </w:tcMar>
          </w:tcPr>
          <w:p>
            <w:pPr>
              <w:spacing w:after="0"/>
            </w:pPr>
            <w:r>
              <w:rPr>
                <w:rFonts w:ascii="Calibri" w:hAnsi="Calibri"/>
                <w:b/>
                <w:i w:val="0"/>
                <w:color w:val="FFFFFF"/>
                <w:sz w:val="19"/>
              </w:rPr>
              <w:t>Detail</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Version</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1.0  (July 2026)</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Owner</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Equator Resolution — Commercial vertical</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Legal review</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  ] Arbitration counsel   ·   [  ] Data-protection counsel   (complete before go-live)</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Approved by</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______________________  (Director)      Date: ____________</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Next review</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On enactment of the Arbitration Amendment Bill / constitution of the Arbitration Council of India</w:t>
            </w:r>
          </w:p>
        </w:tc>
      </w:tr>
    </w:tbl>
    <w:p>
      <w:pPr>
        <w:spacing w:after="8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Law as at July 2026. Verify section numbers and citations against the official texts, and track the Arbitration &amp; Conciliation (Amendment) Bill, 2024 and Arbitration Council of India developments before filing.</w:t>
            </w:r>
          </w:p>
        </w:tc>
      </w:tr>
    </w:tbl>
    <w:p>
      <w:pPr>
        <w:spacing w:after="120"/>
      </w:pPr>
    </w:p>
    <w:p>
      <w:pPr>
        <w:keepNext/>
        <w:spacing w:before="320" w:after="140"/>
        <w:pBdr>
          <w:bottom w:val="single" w:sz="12" w:space="3" w:color="C6A15B"/>
        </w:pBdr>
      </w:pPr>
      <w:r>
        <w:rPr>
          <w:rFonts w:ascii="Calibri" w:hAnsi="Calibri"/>
          <w:b/>
          <w:i w:val="0"/>
          <w:color w:val="123B4F"/>
          <w:sz w:val="34"/>
        </w:rPr>
        <w:t>Table of Contents</w:t>
      </w:r>
    </w:p>
    <w:p>
      <w:pPr>
        <w:spacing w:after="140"/>
        <w:jc w:val="both"/>
      </w:pPr>
      <w:r>
        <w:rPr>
          <w:rFonts w:ascii="Calibri" w:hAnsi="Calibri"/>
          <w:b w:val="0"/>
          <w:i w:val="0"/>
          <w:color w:val="1B2A32"/>
          <w:sz w:val="19"/>
        </w:rPr>
        <w:t>This document uses Word heading styles. Open in Microsoft Word and choose “Update Field” on the entry below to generate a clickable, page-numbered contents list.</w:t>
      </w:r>
    </w:p>
    <w:p>
      <w:r>
        <w:fldChar w:fldCharType="begin"/>
      </w:r>
      <w:r>
        <w:instrText xml:space="preserve">TOC \o "1-3" \h \z \u</w:instrText>
      </w:r>
      <w:r>
        <w:fldChar w:fldCharType="separate"/>
      </w:r>
      <w:r>
        <w:rPr>
          <w:rFonts w:ascii="Calibri" w:hAnsi="Calibri"/>
          <w:b w:val="0"/>
          <w:i/>
          <w:color w:val="556168"/>
          <w:sz w:val="19"/>
        </w:rPr>
        <w:t>Right-click and choose “Update Field” to build the Table of Contents.</w:t>
      </w:r>
      <w:r>
        <w:fldChar w:fldCharType="end"/>
      </w:r>
    </w:p>
    <w:p>
      <w:r>
        <w:br w:type="page"/>
      </w:r>
    </w:p>
    <w:p>
      <w:pPr>
        <w:spacing w:before="600" w:after="40"/>
      </w:pPr>
      <w:r>
        <w:rPr>
          <w:rFonts w:ascii="Calibri" w:hAnsi="Calibri"/>
          <w:b/>
          <w:i w:val="0"/>
          <w:color w:val="C6A15B"/>
          <w:sz w:val="26"/>
        </w:rPr>
        <w:t>PART A</w:t>
      </w:r>
    </w:p>
    <w:p>
      <w:pPr>
        <w:spacing w:after="200"/>
        <w:pBdr>
          <w:bottom w:val="single" w:sz="18" w:space="3" w:color="1E7A8C"/>
        </w:pBdr>
      </w:pPr>
      <w:r>
        <w:rPr>
          <w:rFonts w:ascii="Calibri" w:hAnsi="Calibri"/>
          <w:b/>
          <w:i w:val="0"/>
          <w:color w:val="123B4F"/>
          <w:sz w:val="46"/>
        </w:rPr>
        <w:t>Strategic Overview</w:t>
      </w:r>
    </w:p>
    <w:p>
      <w:pPr>
        <w:keepNext/>
        <w:spacing w:before="320" w:after="140"/>
        <w:pBdr>
          <w:bottom w:val="single" w:sz="12" w:space="3" w:color="C6A15B"/>
        </w:pBdr>
      </w:pPr>
      <w:r>
        <w:rPr>
          <w:rFonts w:ascii="Calibri" w:hAnsi="Calibri"/>
          <w:b/>
          <w:i w:val="0"/>
          <w:color w:val="123B4F"/>
          <w:sz w:val="34"/>
        </w:rPr>
        <w:t>1.  Executive Summary</w:t>
      </w:r>
    </w:p>
    <w:p>
      <w:pPr>
        <w:spacing w:after="160"/>
        <w:jc w:val="both"/>
      </w:pPr>
      <w:r>
        <w:rPr>
          <w:rFonts w:ascii="Calibri" w:hAnsi="Calibri"/>
          <w:b w:val="0"/>
          <w:i/>
          <w:color w:val="1E7A8C"/>
          <w:sz w:val="23"/>
        </w:rPr>
        <w:t>Equator Resolution brings India's highest-value dispute category — commercial and business disputes — into a fast, enforceable, technology-enabled institution offering arbitration, mediation and MSME resolution under one roof.</w:t>
      </w:r>
    </w:p>
    <w:p>
      <w:pPr>
        <w:spacing w:after="140"/>
        <w:jc w:val="both"/>
      </w:pPr>
      <w:r>
        <w:rPr>
          <w:rFonts w:ascii="Calibri" w:hAnsi="Calibri"/>
          <w:b w:val="0"/>
          <w:i w:val="0"/>
          <w:color w:val="1B2A32"/>
          <w:sz w:val="21"/>
        </w:rPr>
        <w:t xml:space="preserve">Commercial disputes are the backbone of the dispute-resolution economy, and India's courts cannot carry them: a commercial suit can take years, tying up working capital and deterring investment. Policy has responded decisively — the Commercial Courts Act, 2015 now makes </w:t>
      </w:r>
      <w:r>
        <w:rPr>
          <w:rFonts w:ascii="Calibri" w:hAnsi="Calibri"/>
          <w:b/>
          <w:i w:val="0"/>
          <w:color w:val="1B2A32"/>
          <w:sz w:val="21"/>
        </w:rPr>
        <w:t>pre-institution mediation mandatory</w:t>
      </w:r>
      <w:r>
        <w:rPr>
          <w:rFonts w:ascii="Calibri" w:hAnsi="Calibri"/>
          <w:b w:val="0"/>
          <w:i w:val="0"/>
          <w:color w:val="1B2A32"/>
          <w:sz w:val="21"/>
        </w:rPr>
        <w:t xml:space="preserve"> for commercial suits of specified value; the Mediation Act, 2023 makes a mediated settlement enforceable </w:t>
      </w:r>
      <w:r>
        <w:rPr>
          <w:rFonts w:ascii="Calibri" w:hAnsi="Calibri"/>
          <w:b/>
          <w:i w:val="0"/>
          <w:color w:val="1B2A32"/>
          <w:sz w:val="21"/>
        </w:rPr>
        <w:t>as a decree</w:t>
      </w:r>
      <w:r>
        <w:rPr>
          <w:rFonts w:ascii="Calibri" w:hAnsi="Calibri"/>
          <w:b w:val="0"/>
          <w:i w:val="0"/>
          <w:color w:val="1B2A32"/>
          <w:sz w:val="21"/>
        </w:rPr>
        <w:t xml:space="preserve">; the MSMED Act, 2006 gives small suppliers a statutory fast track for delayed payments; and the Arbitration &amp; Conciliation Act, 1996 — reinforced by a draft 2024 Amendment Bill that champions </w:t>
      </w:r>
      <w:r>
        <w:rPr>
          <w:rFonts w:ascii="Calibri" w:hAnsi="Calibri"/>
          <w:b/>
          <w:i w:val="0"/>
          <w:color w:val="1B2A32"/>
          <w:sz w:val="21"/>
        </w:rPr>
        <w:t>institutional arbitration</w:t>
      </w:r>
      <w:r>
        <w:rPr>
          <w:rFonts w:ascii="Calibri" w:hAnsi="Calibri"/>
          <w:b w:val="0"/>
          <w:i w:val="0"/>
          <w:color w:val="1B2A32"/>
          <w:sz w:val="21"/>
        </w:rPr>
        <w:t xml:space="preserve"> — makes awards binding and enforceable. Equator is purpose-built to be that institution.</w:t>
      </w:r>
    </w:p>
    <w:p>
      <w:pPr>
        <w:spacing w:after="140"/>
        <w:jc w:val="both"/>
      </w:pPr>
      <w:r>
        <w:rPr>
          <w:rFonts w:ascii="Calibri" w:hAnsi="Calibri"/>
          <w:b w:val="0"/>
          <w:i w:val="0"/>
          <w:color w:val="1B2A32"/>
          <w:sz w:val="21"/>
        </w:rPr>
        <w:t xml:space="preserve">Either party can commence a matter online. The platform triages the dispute to the right mechanism — arbitration where there is an arbitration agreement and the subject-matter is arbitrable; mediation (including the mandatory Section 12A route) where settlement is the goal; and the MSME Samadhaan route for small-supplier payment claims. Empanelled, conflict-checked neutrals are appointed; a case manager drives the matter through </w:t>
      </w:r>
      <w:r>
        <w:rPr>
          <w:rFonts w:ascii="Calibri" w:hAnsi="Calibri"/>
          <w:b/>
          <w:i w:val="0"/>
          <w:color w:val="1B2A32"/>
          <w:sz w:val="21"/>
        </w:rPr>
        <w:t>time-bound</w:t>
      </w:r>
      <w:r>
        <w:rPr>
          <w:rFonts w:ascii="Calibri" w:hAnsi="Calibri"/>
          <w:b w:val="0"/>
          <w:i w:val="0"/>
          <w:color w:val="1B2A32"/>
          <w:sz w:val="21"/>
        </w:rPr>
        <w:t xml:space="preserve"> stages; money moves through </w:t>
      </w:r>
      <w:r>
        <w:rPr>
          <w:rFonts w:ascii="Calibri" w:hAnsi="Calibri"/>
          <w:b/>
          <w:i w:val="0"/>
          <w:color w:val="1B2A32"/>
          <w:sz w:val="21"/>
        </w:rPr>
        <w:t>escrow</w:t>
      </w:r>
      <w:r>
        <w:rPr>
          <w:rFonts w:ascii="Calibri" w:hAnsi="Calibri"/>
          <w:b w:val="0"/>
          <w:i w:val="0"/>
          <w:color w:val="1B2A32"/>
          <w:sz w:val="21"/>
        </w:rPr>
        <w:t xml:space="preserve">; and the outcome — an award or a mediated settlement — is executed with </w:t>
      </w:r>
      <w:r>
        <w:rPr>
          <w:rFonts w:ascii="Calibri" w:hAnsi="Calibri"/>
          <w:b/>
          <w:i w:val="0"/>
          <w:color w:val="1B2A32"/>
          <w:sz w:val="21"/>
        </w:rPr>
        <w:t>e-Stamp and e-Sign</w:t>
      </w:r>
      <w:r>
        <w:rPr>
          <w:rFonts w:ascii="Calibri" w:hAnsi="Calibri"/>
          <w:b w:val="0"/>
          <w:i w:val="0"/>
          <w:color w:val="1B2A32"/>
          <w:sz w:val="21"/>
        </w:rPr>
        <w:t xml:space="preserve"> and enforced as a decree. An </w:t>
      </w:r>
      <w:r>
        <w:rPr>
          <w:rFonts w:ascii="Calibri" w:hAnsi="Calibri"/>
          <w:b/>
          <w:i w:val="0"/>
          <w:color w:val="1B2A32"/>
          <w:sz w:val="21"/>
        </w:rPr>
        <w:t>AI-assisted Dispute Explorer</w:t>
      </w:r>
      <w:r>
        <w:rPr>
          <w:rFonts w:ascii="Calibri" w:hAnsi="Calibri"/>
          <w:b w:val="0"/>
          <w:i w:val="0"/>
          <w:color w:val="1B2A32"/>
          <w:sz w:val="21"/>
        </w:rPr>
        <w:t xml:space="preserve"> helps businesses understand their options, check arbitrability, and draft their case.</w:t>
      </w:r>
    </w:p>
    <w:p>
      <w:pPr>
        <w:keepNext/>
        <w:spacing w:before="220" w:after="80"/>
      </w:pPr>
      <w:r>
        <w:rPr>
          <w:rFonts w:ascii="Calibri" w:hAnsi="Calibri"/>
          <w:b/>
          <w:i w:val="0"/>
          <w:color w:val="1E7A8C"/>
          <w:sz w:val="26"/>
        </w:rPr>
        <w:t>1.1   What Equator offers commercial parties</w:t>
      </w:r>
    </w:p>
    <w:p>
      <w:pPr>
        <w:pStyle w:val="ListBullet"/>
        <w:spacing w:after="60"/>
        <w:jc w:val="both"/>
      </w:pPr>
      <w:r>
        <w:rPr>
          <w:rFonts w:ascii="Calibri" w:hAnsi="Calibri"/>
          <w:b/>
          <w:i w:val="0"/>
          <w:color w:val="123B4F"/>
          <w:sz w:val="21"/>
        </w:rPr>
        <w:t xml:space="preserve">Speed &amp; certainty: </w:t>
      </w:r>
      <w:r>
        <w:rPr>
          <w:rFonts w:ascii="Calibri" w:hAnsi="Calibri"/>
          <w:b w:val="0"/>
          <w:i w:val="0"/>
          <w:color w:val="1B2A32"/>
          <w:sz w:val="21"/>
        </w:rPr>
        <w:t>statutory time limits — arbitration within 12 months (+6); s.12A mediation within 3 months (+2); MSME within 90 days.</w:t>
      </w:r>
    </w:p>
    <w:p>
      <w:pPr>
        <w:pStyle w:val="ListBullet"/>
        <w:spacing w:after="60"/>
        <w:jc w:val="both"/>
      </w:pPr>
      <w:r>
        <w:rPr>
          <w:rFonts w:ascii="Calibri" w:hAnsi="Calibri"/>
          <w:b/>
          <w:i w:val="0"/>
          <w:color w:val="123B4F"/>
          <w:sz w:val="21"/>
        </w:rPr>
        <w:t xml:space="preserve">The right mechanism: </w:t>
      </w:r>
      <w:r>
        <w:rPr>
          <w:rFonts w:ascii="Calibri" w:hAnsi="Calibri"/>
          <w:b w:val="0"/>
          <w:i w:val="0"/>
          <w:color w:val="1B2A32"/>
          <w:sz w:val="21"/>
        </w:rPr>
        <w:t>arbitration, mediation, or MSME Samadhaan — triaged to the dispute, not forced into one mould.</w:t>
      </w:r>
    </w:p>
    <w:p>
      <w:pPr>
        <w:pStyle w:val="ListBullet"/>
        <w:spacing w:after="60"/>
        <w:jc w:val="both"/>
      </w:pPr>
      <w:r>
        <w:rPr>
          <w:rFonts w:ascii="Calibri" w:hAnsi="Calibri"/>
          <w:b/>
          <w:i w:val="0"/>
          <w:color w:val="123B4F"/>
          <w:sz w:val="21"/>
        </w:rPr>
        <w:t xml:space="preserve">Enforceability: </w:t>
      </w:r>
      <w:r>
        <w:rPr>
          <w:rFonts w:ascii="Calibri" w:hAnsi="Calibri"/>
          <w:b w:val="0"/>
          <w:i w:val="0"/>
          <w:color w:val="1B2A32"/>
          <w:sz w:val="21"/>
        </w:rPr>
        <w:t>awards enforceable as decrees (s.36); mediated settlements as decrees (s.27); foreign awards under the New York Convention.</w:t>
      </w:r>
    </w:p>
    <w:p>
      <w:pPr>
        <w:pStyle w:val="ListBullet"/>
        <w:spacing w:after="60"/>
        <w:jc w:val="both"/>
      </w:pPr>
      <w:r>
        <w:rPr>
          <w:rFonts w:ascii="Calibri" w:hAnsi="Calibri"/>
          <w:b/>
          <w:i w:val="0"/>
          <w:color w:val="123B4F"/>
          <w:sz w:val="21"/>
        </w:rPr>
        <w:t xml:space="preserve">Institutional quality: </w:t>
      </w:r>
      <w:r>
        <w:rPr>
          <w:rFonts w:ascii="Calibri" w:hAnsi="Calibri"/>
          <w:b w:val="0"/>
          <w:i w:val="0"/>
          <w:color w:val="1B2A32"/>
          <w:sz w:val="21"/>
        </w:rPr>
        <w:t>graded, conflict-checked neutrals; published rules; digital case management — the model the 2024 Bill promotes.</w:t>
      </w:r>
    </w:p>
    <w:p>
      <w:pPr>
        <w:pStyle w:val="ListBullet"/>
        <w:spacing w:after="60"/>
        <w:jc w:val="both"/>
      </w:pPr>
      <w:r>
        <w:rPr>
          <w:rFonts w:ascii="Calibri" w:hAnsi="Calibri"/>
          <w:b/>
          <w:i w:val="0"/>
          <w:color w:val="123B4F"/>
          <w:sz w:val="21"/>
        </w:rPr>
        <w:t xml:space="preserve">Secured money: </w:t>
      </w:r>
      <w:r>
        <w:rPr>
          <w:rFonts w:ascii="Calibri" w:hAnsi="Calibri"/>
          <w:b w:val="0"/>
          <w:i w:val="0"/>
          <w:color w:val="1B2A32"/>
          <w:sz w:val="21"/>
        </w:rPr>
        <w:t>escrow for award and settlement sums, released against compliance.</w:t>
      </w:r>
    </w:p>
    <w:p>
      <w:pPr>
        <w:pStyle w:val="ListBullet"/>
        <w:spacing w:after="60"/>
        <w:jc w:val="both"/>
      </w:pPr>
      <w:r>
        <w:rPr>
          <w:rFonts w:ascii="Calibri" w:hAnsi="Calibri"/>
          <w:b/>
          <w:i w:val="0"/>
          <w:color w:val="123B4F"/>
          <w:sz w:val="21"/>
        </w:rPr>
        <w:t xml:space="preserve">End-to-end online: </w:t>
      </w:r>
      <w:r>
        <w:rPr>
          <w:rFonts w:ascii="Calibri" w:hAnsi="Calibri"/>
          <w:b w:val="0"/>
          <w:i w:val="0"/>
          <w:color w:val="1B2A32"/>
          <w:sz w:val="21"/>
        </w:rPr>
        <w:t>file, resolve, e-sign, e-stamp and enforce — with AI assistance throughout.</w:t>
      </w:r>
    </w:p>
    <w:p>
      <w:pPr>
        <w:spacing w:after="40"/>
      </w:pPr>
    </w:p>
    <w:p>
      <w:pPr>
        <w:keepNext/>
        <w:spacing w:before="320" w:after="140"/>
        <w:pBdr>
          <w:bottom w:val="single" w:sz="12" w:space="3" w:color="C6A15B"/>
        </w:pBdr>
      </w:pPr>
      <w:r>
        <w:rPr>
          <w:rFonts w:ascii="Calibri" w:hAnsi="Calibri"/>
          <w:b/>
          <w:i w:val="0"/>
          <w:color w:val="123B4F"/>
          <w:sz w:val="34"/>
        </w:rPr>
        <w:t>2.  The Opportunity</w:t>
      </w:r>
    </w:p>
    <w:p>
      <w:pPr>
        <w:keepNext/>
        <w:spacing w:before="220" w:after="80"/>
      </w:pPr>
      <w:r>
        <w:rPr>
          <w:rFonts w:ascii="Calibri" w:hAnsi="Calibri"/>
          <w:b/>
          <w:i w:val="0"/>
          <w:color w:val="1E7A8C"/>
          <w:sz w:val="26"/>
        </w:rPr>
        <w:t>2.1   A market the courts cannot serve</w:t>
      </w:r>
    </w:p>
    <w:p>
      <w:pPr>
        <w:spacing w:after="140"/>
        <w:jc w:val="both"/>
      </w:pPr>
      <w:r>
        <w:rPr>
          <w:rFonts w:ascii="Calibri" w:hAnsi="Calibri"/>
          <w:b w:val="0"/>
          <w:i w:val="0"/>
          <w:color w:val="1B2A32"/>
          <w:sz w:val="21"/>
        </w:rPr>
        <w:t>Commercial litigation is slow, expensive and unpredictable, and it locks up capital while disputes drag on. Businesses — from large corporates to MSMEs and fast-growing startups — increasingly demand a faster, more commercial forum. Institutional ADR is the answer the world's commercial hubs have already adopted, and India's policy is now aligned behind it.</w:t>
      </w:r>
    </w:p>
    <w:p>
      <w:pPr>
        <w:keepNext/>
        <w:spacing w:before="220" w:after="80"/>
      </w:pPr>
      <w:r>
        <w:rPr>
          <w:rFonts w:ascii="Calibri" w:hAnsi="Calibri"/>
          <w:b/>
          <w:i w:val="0"/>
          <w:color w:val="1E7A8C"/>
          <w:sz w:val="26"/>
        </w:rPr>
        <w:t>2.2   Four regulatory tailwinds</w:t>
      </w:r>
    </w:p>
    <w:p>
      <w:pPr>
        <w:spacing w:after="140"/>
        <w:jc w:val="both"/>
      </w:pPr>
      <w:r>
        <w:rPr>
          <w:rFonts w:ascii="Calibri" w:hAnsi="Calibri"/>
          <w:b w:val="0"/>
          <w:i w:val="0"/>
          <w:color w:val="1B2A32"/>
          <w:sz w:val="21"/>
        </w:rPr>
        <w:t xml:space="preserve">Four statutes converge to create Equator's opening. The </w:t>
      </w:r>
      <w:r>
        <w:rPr>
          <w:rFonts w:ascii="Calibri" w:hAnsi="Calibri"/>
          <w:b/>
          <w:i w:val="0"/>
          <w:color w:val="1B2A32"/>
          <w:sz w:val="21"/>
        </w:rPr>
        <w:t>Commercial Courts Act, 2015</w:t>
      </w:r>
      <w:r>
        <w:rPr>
          <w:rFonts w:ascii="Calibri" w:hAnsi="Calibri"/>
          <w:b w:val="0"/>
          <w:i w:val="0"/>
          <w:color w:val="1B2A32"/>
          <w:sz w:val="21"/>
        </w:rPr>
        <w:t xml:space="preserve"> makes pre-institution mediation a mandatory gateway for commercial suits of specified value, so every such dispute must attempt mediation before court — a vast, compelled top-of-funnel. The </w:t>
      </w:r>
      <w:r>
        <w:rPr>
          <w:rFonts w:ascii="Calibri" w:hAnsi="Calibri"/>
          <w:b/>
          <w:i w:val="0"/>
          <w:color w:val="1B2A32"/>
          <w:sz w:val="21"/>
        </w:rPr>
        <w:t>Mediation Act, 2023</w:t>
      </w:r>
      <w:r>
        <w:rPr>
          <w:rFonts w:ascii="Calibri" w:hAnsi="Calibri"/>
          <w:b w:val="0"/>
          <w:i w:val="0"/>
          <w:color w:val="1B2A32"/>
          <w:sz w:val="21"/>
        </w:rPr>
        <w:t xml:space="preserve"> makes the resulting settlement enforceable as a court decree. The </w:t>
      </w:r>
      <w:r>
        <w:rPr>
          <w:rFonts w:ascii="Calibri" w:hAnsi="Calibri"/>
          <w:b/>
          <w:i w:val="0"/>
          <w:color w:val="1B2A32"/>
          <w:sz w:val="21"/>
        </w:rPr>
        <w:t>MSMED Act, 2006</w:t>
      </w:r>
      <w:r>
        <w:rPr>
          <w:rFonts w:ascii="Calibri" w:hAnsi="Calibri"/>
          <w:b w:val="0"/>
          <w:i w:val="0"/>
          <w:color w:val="1B2A32"/>
          <w:sz w:val="21"/>
        </w:rPr>
        <w:t xml:space="preserve"> channels the enormous volume of small-supplier payment disputes into conciliation-then-arbitration through the MSME Samadhaan mechanism. And the </w:t>
      </w:r>
      <w:r>
        <w:rPr>
          <w:rFonts w:ascii="Calibri" w:hAnsi="Calibri"/>
          <w:b/>
          <w:i w:val="0"/>
          <w:color w:val="1B2A32"/>
          <w:sz w:val="21"/>
        </w:rPr>
        <w:t>Arbitration &amp; Conciliation Act, 1996</w:t>
      </w:r>
      <w:r>
        <w:rPr>
          <w:rFonts w:ascii="Calibri" w:hAnsi="Calibri"/>
          <w:b w:val="0"/>
          <w:i w:val="0"/>
          <w:color w:val="1B2A32"/>
          <w:sz w:val="21"/>
        </w:rPr>
        <w:t xml:space="preserve">, with a draft 2024 Amendment Bill that expressly promotes </w:t>
      </w:r>
      <w:r>
        <w:rPr>
          <w:rFonts w:ascii="Calibri" w:hAnsi="Calibri"/>
          <w:b/>
          <w:i w:val="0"/>
          <w:color w:val="1B2A32"/>
          <w:sz w:val="21"/>
        </w:rPr>
        <w:t>institutional arbitration</w:t>
      </w:r>
      <w:r>
        <w:rPr>
          <w:rFonts w:ascii="Calibri" w:hAnsi="Calibri"/>
          <w:b w:val="0"/>
          <w:i w:val="0"/>
          <w:color w:val="1B2A32"/>
          <w:sz w:val="21"/>
        </w:rPr>
        <w:t xml:space="preserve"> and an Arbitration Council of India grading regime, positions credentialed institutions like Equator to administer arbitrations and appoint arbitrators.</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Equator should position from day one as a credible </w:t>
            </w:r>
            <w:r>
              <w:rPr>
                <w:rFonts w:ascii="Calibri" w:hAnsi="Calibri"/>
                <w:b/>
                <w:i w:val="0"/>
                <w:color w:val="1B2A32"/>
                <w:sz w:val="20"/>
              </w:rPr>
              <w:t>arbitral institution and Mediation Service Provider</w:t>
            </w:r>
            <w:r>
              <w:rPr>
                <w:rFonts w:ascii="Calibri" w:hAnsi="Calibri"/>
                <w:b w:val="0"/>
                <w:i w:val="0"/>
                <w:color w:val="1B2A32"/>
                <w:sz w:val="20"/>
              </w:rPr>
              <w:t>, ready for Arbitration Council of India grading and Mediation Council recognition, with rules, panel, records and an awards/MSA repository maintained to that standard.</w:t>
            </w:r>
          </w:p>
        </w:tc>
      </w:tr>
    </w:tbl>
    <w:p>
      <w:pPr>
        <w:spacing w:after="120"/>
      </w:pPr>
    </w:p>
    <w:p>
      <w:pPr>
        <w:spacing w:before="80" w:after="40"/>
        <w:jc w:val="center"/>
      </w:pPr>
      <w:r>
        <w:drawing>
          <wp:inline xmlns:a="http://schemas.openxmlformats.org/drawingml/2006/main" xmlns:pic="http://schemas.openxmlformats.org/drawingml/2006/picture">
            <wp:extent cx="5760720" cy="4270205"/>
            <wp:docPr id="1" name="Picture 1"/>
            <wp:cNvGraphicFramePr>
              <a:graphicFrameLocks noChangeAspect="1"/>
            </wp:cNvGraphicFramePr>
            <a:graphic>
              <a:graphicData uri="http://schemas.openxmlformats.org/drawingml/2006/picture">
                <pic:pic>
                  <pic:nvPicPr>
                    <pic:cNvPr id="0" name="cm04_arbitrability_triage.png"/>
                    <pic:cNvPicPr/>
                  </pic:nvPicPr>
                  <pic:blipFill>
                    <a:blip r:embed="rId9"/>
                    <a:stretch>
                      <a:fillRect/>
                    </a:stretch>
                  </pic:blipFill>
                  <pic:spPr>
                    <a:xfrm>
                      <a:off x="0" y="0"/>
                      <a:ext cx="5760720" cy="4270205"/>
                    </a:xfrm>
                    <a:prstGeom prst="rect"/>
                  </pic:spPr>
                </pic:pic>
              </a:graphicData>
            </a:graphic>
          </wp:inline>
        </w:drawing>
      </w:r>
    </w:p>
    <w:p>
      <w:pPr>
        <w:spacing w:before="20" w:after="200"/>
        <w:jc w:val="center"/>
      </w:pPr>
      <w:r>
        <w:rPr>
          <w:rFonts w:ascii="Calibri" w:hAnsi="Calibri"/>
          <w:b w:val="0"/>
          <w:i/>
          <w:color w:val="556168"/>
          <w:sz w:val="17"/>
        </w:rPr>
        <w:t>Figure 1 — Every commercial matter is triaged to the right mechanism: arbitration, MSME Samadhaan, or mediation.</w:t>
      </w:r>
    </w:p>
    <w:p>
      <w:pPr>
        <w:keepNext/>
        <w:spacing w:before="320" w:after="140"/>
        <w:pBdr>
          <w:bottom w:val="single" w:sz="12" w:space="3" w:color="C6A15B"/>
        </w:pBdr>
      </w:pPr>
      <w:r>
        <w:rPr>
          <w:rFonts w:ascii="Calibri" w:hAnsi="Calibri"/>
          <w:b/>
          <w:i w:val="0"/>
          <w:color w:val="123B4F"/>
          <w:sz w:val="34"/>
        </w:rPr>
        <w:t>3.  Vision, Positioning &amp; Guiding Principles</w:t>
      </w:r>
    </w:p>
    <w:p>
      <w:pPr>
        <w:spacing w:after="140"/>
        <w:jc w:val="both"/>
      </w:pPr>
      <w:r>
        <w:rPr>
          <w:rFonts w:ascii="Calibri" w:hAnsi="Calibri"/>
          <w:b w:val="0"/>
          <w:i w:val="0"/>
          <w:color w:val="1B2A32"/>
          <w:sz w:val="21"/>
        </w:rPr>
        <w:t xml:space="preserve">Equator's commercial vertical promises resolutions that are </w:t>
      </w:r>
      <w:r>
        <w:rPr>
          <w:rFonts w:ascii="Calibri" w:hAnsi="Calibri"/>
          <w:b/>
          <w:i w:val="0"/>
          <w:color w:val="1B2A32"/>
          <w:sz w:val="21"/>
        </w:rPr>
        <w:t>faster, more commercial and enforceable</w:t>
      </w:r>
      <w:r>
        <w:rPr>
          <w:rFonts w:ascii="Calibri" w:hAnsi="Calibri"/>
          <w:b w:val="0"/>
          <w:i w:val="0"/>
          <w:color w:val="1B2A32"/>
          <w:sz w:val="21"/>
        </w:rPr>
        <w:t xml:space="preserve"> — an institution Indian businesses and their counsel trust to administer their most valuable disputes. Its principles: </w:t>
      </w:r>
      <w:r>
        <w:rPr>
          <w:rFonts w:ascii="Calibri" w:hAnsi="Calibri"/>
          <w:b/>
          <w:i w:val="0"/>
          <w:color w:val="1B2A32"/>
          <w:sz w:val="21"/>
        </w:rPr>
        <w:t>neutrality and independence</w:t>
      </w:r>
      <w:r>
        <w:rPr>
          <w:rFonts w:ascii="Calibri" w:hAnsi="Calibri"/>
          <w:b w:val="0"/>
          <w:i w:val="0"/>
          <w:color w:val="1B2A32"/>
          <w:sz w:val="21"/>
        </w:rPr>
        <w:t xml:space="preserve"> of the institution and its neutrals; </w:t>
      </w:r>
      <w:r>
        <w:rPr>
          <w:rFonts w:ascii="Calibri" w:hAnsi="Calibri"/>
          <w:b/>
          <w:i w:val="0"/>
          <w:color w:val="1B2A32"/>
          <w:sz w:val="21"/>
        </w:rPr>
        <w:t>party autonomy</w:t>
      </w:r>
      <w:r>
        <w:rPr>
          <w:rFonts w:ascii="Calibri" w:hAnsi="Calibri"/>
          <w:b w:val="0"/>
          <w:i w:val="0"/>
          <w:color w:val="1B2A32"/>
          <w:sz w:val="21"/>
        </w:rPr>
        <w:t xml:space="preserve"> over process and outcome; </w:t>
      </w:r>
      <w:r>
        <w:rPr>
          <w:rFonts w:ascii="Calibri" w:hAnsi="Calibri"/>
          <w:b/>
          <w:i w:val="0"/>
          <w:color w:val="1B2A32"/>
          <w:sz w:val="21"/>
        </w:rPr>
        <w:t>speed with due process</w:t>
      </w:r>
      <w:r>
        <w:rPr>
          <w:rFonts w:ascii="Calibri" w:hAnsi="Calibri"/>
          <w:b w:val="0"/>
          <w:i w:val="0"/>
          <w:color w:val="1B2A32"/>
          <w:sz w:val="21"/>
        </w:rPr>
        <w:t xml:space="preserve">; </w:t>
      </w:r>
      <w:r>
        <w:rPr>
          <w:rFonts w:ascii="Calibri" w:hAnsi="Calibri"/>
          <w:b/>
          <w:i w:val="0"/>
          <w:color w:val="1B2A32"/>
          <w:sz w:val="21"/>
        </w:rPr>
        <w:t>confidentiality</w:t>
      </w:r>
      <w:r>
        <w:rPr>
          <w:rFonts w:ascii="Calibri" w:hAnsi="Calibri"/>
          <w:b w:val="0"/>
          <w:i w:val="0"/>
          <w:color w:val="1B2A32"/>
          <w:sz w:val="21"/>
        </w:rPr>
        <w:t xml:space="preserve">; </w:t>
      </w:r>
      <w:r>
        <w:rPr>
          <w:rFonts w:ascii="Calibri" w:hAnsi="Calibri"/>
          <w:b/>
          <w:i w:val="0"/>
          <w:color w:val="1B2A32"/>
          <w:sz w:val="21"/>
        </w:rPr>
        <w:t>enforceability</w:t>
      </w:r>
      <w:r>
        <w:rPr>
          <w:rFonts w:ascii="Calibri" w:hAnsi="Calibri"/>
          <w:b w:val="0"/>
          <w:i w:val="0"/>
          <w:color w:val="1B2A32"/>
          <w:sz w:val="21"/>
        </w:rPr>
        <w:t xml:space="preserve"> of every outcome; </w:t>
      </w:r>
      <w:r>
        <w:rPr>
          <w:rFonts w:ascii="Calibri" w:hAnsi="Calibri"/>
          <w:b/>
          <w:i w:val="0"/>
          <w:color w:val="1B2A32"/>
          <w:sz w:val="21"/>
        </w:rPr>
        <w:t>integrity</w:t>
      </w:r>
      <w:r>
        <w:rPr>
          <w:rFonts w:ascii="Calibri" w:hAnsi="Calibri"/>
          <w:b w:val="0"/>
          <w:i w:val="0"/>
          <w:color w:val="1B2A32"/>
          <w:sz w:val="21"/>
        </w:rPr>
        <w:t xml:space="preserve"> (rigorous conflict management under the Act's Schedules); and </w:t>
      </w:r>
      <w:r>
        <w:rPr>
          <w:rFonts w:ascii="Calibri" w:hAnsi="Calibri"/>
          <w:b/>
          <w:i w:val="0"/>
          <w:color w:val="1B2A32"/>
          <w:sz w:val="21"/>
        </w:rPr>
        <w:t>data protection</w:t>
      </w:r>
      <w:r>
        <w:rPr>
          <w:rFonts w:ascii="Calibri" w:hAnsi="Calibri"/>
          <w:b w:val="0"/>
          <w:i w:val="0"/>
          <w:color w:val="1B2A32"/>
          <w:sz w:val="21"/>
        </w:rPr>
        <w:t xml:space="preserve"> to the DPDP standard for commercially sensitive information.</w:t>
      </w:r>
    </w:p>
    <w:p>
      <w:pPr>
        <w:keepNext/>
        <w:spacing w:before="320" w:after="140"/>
        <w:pBdr>
          <w:bottom w:val="single" w:sz="12" w:space="3" w:color="C6A15B"/>
        </w:pBdr>
      </w:pPr>
      <w:r>
        <w:rPr>
          <w:rFonts w:ascii="Calibri" w:hAnsi="Calibri"/>
          <w:b/>
          <w:i w:val="0"/>
          <w:color w:val="123B4F"/>
          <w:sz w:val="34"/>
        </w:rPr>
        <w:t>4.  How Equator Works as an Institution</w:t>
      </w:r>
    </w:p>
    <w:p>
      <w:pPr>
        <w:spacing w:after="140"/>
        <w:jc w:val="both"/>
      </w:pPr>
      <w:r>
        <w:rPr>
          <w:rFonts w:ascii="Calibri" w:hAnsi="Calibri"/>
          <w:b w:val="0"/>
          <w:i w:val="0"/>
          <w:color w:val="1B2A32"/>
          <w:sz w:val="21"/>
        </w:rPr>
        <w:t xml:space="preserve">Equator is the </w:t>
      </w:r>
      <w:r>
        <w:rPr>
          <w:rFonts w:ascii="Calibri" w:hAnsi="Calibri"/>
          <w:b/>
          <w:i w:val="0"/>
          <w:color w:val="1B2A32"/>
          <w:sz w:val="21"/>
        </w:rPr>
        <w:t>institution</w:t>
      </w:r>
      <w:r>
        <w:rPr>
          <w:rFonts w:ascii="Calibri" w:hAnsi="Calibri"/>
          <w:b w:val="0"/>
          <w:i w:val="0"/>
          <w:color w:val="1B2A32"/>
          <w:sz w:val="21"/>
        </w:rPr>
        <w:t xml:space="preserve"> that administers the proceeding. For </w:t>
      </w:r>
      <w:r>
        <w:rPr>
          <w:rFonts w:ascii="Calibri" w:hAnsi="Calibri"/>
          <w:b/>
          <w:i w:val="0"/>
          <w:color w:val="1B2A32"/>
          <w:sz w:val="21"/>
        </w:rPr>
        <w:t>arbitration</w:t>
      </w:r>
      <w:r>
        <w:rPr>
          <w:rFonts w:ascii="Calibri" w:hAnsi="Calibri"/>
          <w:b w:val="0"/>
          <w:i w:val="0"/>
          <w:color w:val="1B2A32"/>
          <w:sz w:val="21"/>
        </w:rPr>
        <w:t xml:space="preserve"> it maintains the panel, publishes the Rules of Arbitration and fee schedule, appoints or confirms the tribunal, provides the case-management platform and a tribunal secretary function, and holds the award repository. For </w:t>
      </w:r>
      <w:r>
        <w:rPr>
          <w:rFonts w:ascii="Calibri" w:hAnsi="Calibri"/>
          <w:b/>
          <w:i w:val="0"/>
          <w:color w:val="1B2A32"/>
          <w:sz w:val="21"/>
        </w:rPr>
        <w:t>mediation</w:t>
      </w:r>
      <w:r>
        <w:rPr>
          <w:rFonts w:ascii="Calibri" w:hAnsi="Calibri"/>
          <w:b w:val="0"/>
          <w:i w:val="0"/>
          <w:color w:val="1B2A32"/>
          <w:sz w:val="21"/>
        </w:rPr>
        <w:t xml:space="preserve"> it acts as a Mediation Service Provider. For </w:t>
      </w:r>
      <w:r>
        <w:rPr>
          <w:rFonts w:ascii="Calibri" w:hAnsi="Calibri"/>
          <w:b/>
          <w:i w:val="0"/>
          <w:color w:val="1B2A32"/>
          <w:sz w:val="21"/>
        </w:rPr>
        <w:t>MSME</w:t>
      </w:r>
      <w:r>
        <w:rPr>
          <w:rFonts w:ascii="Calibri" w:hAnsi="Calibri"/>
          <w:b w:val="0"/>
          <w:i w:val="0"/>
          <w:color w:val="1B2A32"/>
          <w:sz w:val="21"/>
        </w:rPr>
        <w:t xml:space="preserve"> matters it can administer the conciliation and arbitration a Facilitation Council refers. The </w:t>
      </w:r>
      <w:r>
        <w:rPr>
          <w:rFonts w:ascii="Calibri" w:hAnsi="Calibri"/>
          <w:b/>
          <w:i w:val="0"/>
          <w:color w:val="1B2A32"/>
          <w:sz w:val="21"/>
        </w:rPr>
        <w:t>neutral</w:t>
      </w:r>
      <w:r>
        <w:rPr>
          <w:rFonts w:ascii="Calibri" w:hAnsi="Calibri"/>
          <w:b w:val="0"/>
          <w:i w:val="0"/>
          <w:color w:val="1B2A32"/>
          <w:sz w:val="21"/>
        </w:rPr>
        <w:t xml:space="preserve"> (arbitrator or mediator) decides or facilitates; the </w:t>
      </w:r>
      <w:r>
        <w:rPr>
          <w:rFonts w:ascii="Calibri" w:hAnsi="Calibri"/>
          <w:b/>
          <w:i w:val="0"/>
          <w:color w:val="1B2A32"/>
          <w:sz w:val="21"/>
        </w:rPr>
        <w:t>case manager</w:t>
      </w:r>
      <w:r>
        <w:rPr>
          <w:rFonts w:ascii="Calibri" w:hAnsi="Calibri"/>
          <w:b w:val="0"/>
          <w:i w:val="0"/>
          <w:color w:val="1B2A32"/>
          <w:sz w:val="21"/>
        </w:rPr>
        <w:t xml:space="preserve"> drives the file and the clock; the </w:t>
      </w:r>
      <w:r>
        <w:rPr>
          <w:rFonts w:ascii="Calibri" w:hAnsi="Calibri"/>
          <w:b/>
          <w:i w:val="0"/>
          <w:color w:val="1B2A32"/>
          <w:sz w:val="21"/>
        </w:rPr>
        <w:t>parties</w:t>
      </w:r>
      <w:r>
        <w:rPr>
          <w:rFonts w:ascii="Calibri" w:hAnsi="Calibri"/>
          <w:b w:val="0"/>
          <w:i w:val="0"/>
          <w:color w:val="1B2A32"/>
          <w:sz w:val="21"/>
        </w:rPr>
        <w:t xml:space="preserve"> and their </w:t>
      </w:r>
      <w:r>
        <w:rPr>
          <w:rFonts w:ascii="Calibri" w:hAnsi="Calibri"/>
          <w:b/>
          <w:i w:val="0"/>
          <w:color w:val="1B2A32"/>
          <w:sz w:val="21"/>
        </w:rPr>
        <w:t>counsel</w:t>
      </w:r>
      <w:r>
        <w:rPr>
          <w:rFonts w:ascii="Calibri" w:hAnsi="Calibri"/>
          <w:b w:val="0"/>
          <w:i w:val="0"/>
          <w:color w:val="1B2A32"/>
          <w:sz w:val="21"/>
        </w:rPr>
        <w:t xml:space="preserve"> participate through secure logins. This institutional separation of roles is what the Arbitration Council of India will grade and what distinguishes Equator from ad-hoc arbitration.</w:t>
      </w:r>
    </w:p>
    <w:p>
      <w:r>
        <w:br w:type="page"/>
      </w:r>
    </w:p>
    <w:p>
      <w:pPr>
        <w:spacing w:before="600" w:after="40"/>
      </w:pPr>
      <w:r>
        <w:rPr>
          <w:rFonts w:ascii="Calibri" w:hAnsi="Calibri"/>
          <w:b/>
          <w:i w:val="0"/>
          <w:color w:val="C6A15B"/>
          <w:sz w:val="26"/>
        </w:rPr>
        <w:t>PART B</w:t>
      </w:r>
    </w:p>
    <w:p>
      <w:pPr>
        <w:spacing w:after="200"/>
        <w:pBdr>
          <w:bottom w:val="single" w:sz="18" w:space="3" w:color="1E7A8C"/>
        </w:pBdr>
      </w:pPr>
      <w:r>
        <w:rPr>
          <w:rFonts w:ascii="Calibri" w:hAnsi="Calibri"/>
          <w:b/>
          <w:i w:val="0"/>
          <w:color w:val="123B4F"/>
          <w:sz w:val="46"/>
        </w:rPr>
        <w:t>The Legal Framework</w:t>
      </w:r>
    </w:p>
    <w:p>
      <w:pPr>
        <w:keepNext/>
        <w:spacing w:before="320" w:after="140"/>
        <w:pBdr>
          <w:bottom w:val="single" w:sz="12" w:space="3" w:color="C6A15B"/>
        </w:pBdr>
      </w:pPr>
      <w:r>
        <w:rPr>
          <w:rFonts w:ascii="Calibri" w:hAnsi="Calibri"/>
          <w:b/>
          <w:i w:val="0"/>
          <w:color w:val="123B4F"/>
          <w:sz w:val="34"/>
        </w:rPr>
        <w:t>5.  Governing-Law Landscape: Which Mechanism Applies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Commercial disputes are resolved through several routes, and the first job of intake is to pick the right one: </w:t>
            </w:r>
            <w:r>
              <w:rPr>
                <w:rFonts w:ascii="Calibri" w:hAnsi="Calibri"/>
                <w:b/>
                <w:i w:val="0"/>
                <w:color w:val="1B2A32"/>
                <w:sz w:val="20"/>
              </w:rPr>
              <w:t>arbitration</w:t>
            </w:r>
            <w:r>
              <w:rPr>
                <w:rFonts w:ascii="Calibri" w:hAnsi="Calibri"/>
                <w:b w:val="0"/>
                <w:i w:val="0"/>
                <w:color w:val="1B2A32"/>
                <w:sz w:val="20"/>
              </w:rPr>
              <w:t xml:space="preserve"> (if there's an arbitration clause and the matter is arbitrable), </w:t>
            </w:r>
            <w:r>
              <w:rPr>
                <w:rFonts w:ascii="Calibri" w:hAnsi="Calibri"/>
                <w:b/>
                <w:i w:val="0"/>
                <w:color w:val="1B2A32"/>
                <w:sz w:val="20"/>
              </w:rPr>
              <w:t>mediation</w:t>
            </w:r>
            <w:r>
              <w:rPr>
                <w:rFonts w:ascii="Calibri" w:hAnsi="Calibri"/>
                <w:b w:val="0"/>
                <w:i w:val="0"/>
                <w:color w:val="1B2A32"/>
                <w:sz w:val="20"/>
              </w:rPr>
              <w:t xml:space="preserve"> (voluntary, or the mandatory Section 12A route before a commercial suit), or </w:t>
            </w:r>
            <w:r>
              <w:rPr>
                <w:rFonts w:ascii="Calibri" w:hAnsi="Calibri"/>
                <w:b/>
                <w:i w:val="0"/>
                <w:color w:val="1B2A32"/>
                <w:sz w:val="20"/>
              </w:rPr>
              <w:t>MSME Samadhaan</w:t>
            </w:r>
            <w:r>
              <w:rPr>
                <w:rFonts w:ascii="Calibri" w:hAnsi="Calibri"/>
                <w:b w:val="0"/>
                <w:i w:val="0"/>
                <w:color w:val="1B2A32"/>
                <w:sz w:val="20"/>
              </w:rPr>
              <w:t xml:space="preserve"> (for small-supplier payment claims). Some matters — insolvency, company oppression, criminal — must go to a court or tribunal.</w:t>
            </w:r>
          </w:p>
        </w:tc>
      </w:tr>
    </w:tbl>
    <w:p>
      <w:pPr>
        <w:spacing w:after="120"/>
      </w:pPr>
    </w:p>
    <w:p>
      <w:pPr>
        <w:spacing w:after="140"/>
        <w:jc w:val="both"/>
      </w:pPr>
      <w:r>
        <w:rPr>
          <w:rFonts w:ascii="Calibri" w:hAnsi="Calibri"/>
          <w:b w:val="0"/>
          <w:i w:val="0"/>
          <w:color w:val="1B2A32"/>
          <w:sz w:val="21"/>
        </w:rPr>
        <w:t xml:space="preserve">The mechanism is chosen from the nature of the dispute, the contract, and the parties. An </w:t>
      </w:r>
      <w:r>
        <w:rPr>
          <w:rFonts w:ascii="Calibri" w:hAnsi="Calibri"/>
          <w:b/>
          <w:i w:val="0"/>
          <w:color w:val="1B2A32"/>
          <w:sz w:val="21"/>
        </w:rPr>
        <w:t>arbitration agreement</w:t>
      </w:r>
      <w:r>
        <w:rPr>
          <w:rFonts w:ascii="Calibri" w:hAnsi="Calibri"/>
          <w:b w:val="0"/>
          <w:i w:val="0"/>
          <w:color w:val="1B2A32"/>
          <w:sz w:val="21"/>
        </w:rPr>
        <w:t xml:space="preserve"> (Section 7 of the Arbitration &amp; Conciliation Act) routes an arbitrable dispute to arbitration, and a court must refer the parties to arbitration under Section 8. Absent a clause, a commercial dispute of specified value must first attempt </w:t>
      </w:r>
      <w:r>
        <w:rPr>
          <w:rFonts w:ascii="Calibri" w:hAnsi="Calibri"/>
          <w:b/>
          <w:i w:val="0"/>
          <w:color w:val="1B2A32"/>
          <w:sz w:val="21"/>
        </w:rPr>
        <w:t>pre-institution mediation</w:t>
      </w:r>
      <w:r>
        <w:rPr>
          <w:rFonts w:ascii="Calibri" w:hAnsi="Calibri"/>
          <w:b w:val="0"/>
          <w:i w:val="0"/>
          <w:color w:val="1B2A32"/>
          <w:sz w:val="21"/>
        </w:rPr>
        <w:t xml:space="preserve"> under Section 12A of the Commercial Courts Act. A micro or small enterprise chasing a delayed payment can invoke the </w:t>
      </w:r>
      <w:r>
        <w:rPr>
          <w:rFonts w:ascii="Calibri" w:hAnsi="Calibri"/>
          <w:b/>
          <w:i w:val="0"/>
          <w:color w:val="1B2A32"/>
          <w:sz w:val="21"/>
        </w:rPr>
        <w:t>MSME Samadhaan</w:t>
      </w:r>
      <w:r>
        <w:rPr>
          <w:rFonts w:ascii="Calibri" w:hAnsi="Calibri"/>
          <w:b w:val="0"/>
          <w:i w:val="0"/>
          <w:color w:val="1B2A32"/>
          <w:sz w:val="21"/>
        </w:rPr>
        <w:t xml:space="preserve"> route. And some subject-matter is simply </w:t>
      </w:r>
      <w:r>
        <w:rPr>
          <w:rFonts w:ascii="Calibri" w:hAnsi="Calibri"/>
          <w:b/>
          <w:i w:val="0"/>
          <w:color w:val="1B2A32"/>
          <w:sz w:val="21"/>
        </w:rPr>
        <w:t>not arbitrable</w:t>
      </w:r>
      <w:r>
        <w:rPr>
          <w:rFonts w:ascii="Calibri" w:hAnsi="Calibri"/>
          <w:b w:val="0"/>
          <w:i w:val="0"/>
          <w:color w:val="1B2A32"/>
          <w:sz w:val="21"/>
        </w:rPr>
        <w:t xml:space="preserve"> and belongs before a court or the NCLT. Equator's taxonomy captures these facts at intake and routes the matter automatically.</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Route</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9"/>
              </w:rPr>
              <w:t>When it applies</w:t>
            </w:r>
          </w:p>
        </w:tc>
        <w:tc>
          <w:tcPr>
            <w:tcW w:type="dxa" w:w="3041"/>
            <w:shd w:val="clear" w:color="auto" w:fill="123B4F"/>
            <w:tcMar>
              <w:top w:w="60" w:type="dxa"/>
              <w:bottom w:w="60" w:type="dxa"/>
              <w:start w:w="110" w:type="dxa"/>
              <w:end w:w="110" w:type="dxa"/>
            </w:tcMar>
          </w:tcPr>
          <w:p>
            <w:pPr>
              <w:spacing w:after="0"/>
            </w:pPr>
            <w:r>
              <w:rPr>
                <w:rFonts w:ascii="Calibri" w:hAnsi="Calibri"/>
                <w:b/>
                <w:i w:val="0"/>
                <w:color w:val="FFFFFF"/>
                <w:sz w:val="19"/>
              </w:rPr>
              <w:t>Governing law</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Arbitration</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Valid arbitration agreement + arbitrable subject-matter</w:t>
            </w:r>
          </w:p>
        </w:tc>
        <w:tc>
          <w:tcPr>
            <w:tcW w:type="dxa" w:w="3041"/>
            <w:tcMar>
              <w:top w:w="60" w:type="dxa"/>
              <w:bottom w:w="60" w:type="dxa"/>
              <w:start w:w="110" w:type="dxa"/>
              <w:end w:w="110" w:type="dxa"/>
            </w:tcMar>
          </w:tcPr>
          <w:p>
            <w:pPr>
              <w:spacing w:after="0"/>
              <w:jc w:val="left"/>
            </w:pPr>
            <w:r>
              <w:rPr>
                <w:rFonts w:ascii="Calibri" w:hAnsi="Calibri"/>
                <w:b w:val="0"/>
                <w:i w:val="0"/>
                <w:color w:val="1B2A32"/>
                <w:sz w:val="19"/>
              </w:rPr>
              <w:t>Arbitration &amp; Conciliation Act, 1996</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Mediation (voluntary)</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Parties choose to mediate</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Mediation Act, 2023</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Pre-institution mediation (s.12A)</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Commercial suit of specified value, no urgent interim relief</w:t>
            </w:r>
          </w:p>
        </w:tc>
        <w:tc>
          <w:tcPr>
            <w:tcW w:type="dxa" w:w="3041"/>
            <w:tcMar>
              <w:top w:w="60" w:type="dxa"/>
              <w:bottom w:w="60" w:type="dxa"/>
              <w:start w:w="110" w:type="dxa"/>
              <w:end w:w="110" w:type="dxa"/>
            </w:tcMar>
          </w:tcPr>
          <w:p>
            <w:pPr>
              <w:spacing w:after="0"/>
              <w:jc w:val="left"/>
            </w:pPr>
            <w:r>
              <w:rPr>
                <w:rFonts w:ascii="Calibri" w:hAnsi="Calibri"/>
                <w:b w:val="0"/>
                <w:i w:val="0"/>
                <w:color w:val="1B2A32"/>
                <w:sz w:val="19"/>
              </w:rPr>
              <w:t>Commercial Courts Act, 2015; Mediation Act, 2023</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MSME Samadhaan</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Micro/small supplier, delayed payment</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MSMED Act, 2006 (ss.15–19)</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Court / NCLT</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Non-arbitrable (insolvency, oppression, etc.)</w:t>
            </w:r>
          </w:p>
        </w:tc>
        <w:tc>
          <w:tcPr>
            <w:tcW w:type="dxa" w:w="3041"/>
            <w:tcMar>
              <w:top w:w="60" w:type="dxa"/>
              <w:bottom w:w="60" w:type="dxa"/>
              <w:start w:w="110" w:type="dxa"/>
              <w:end w:w="110" w:type="dxa"/>
            </w:tcMar>
          </w:tcPr>
          <w:p>
            <w:pPr>
              <w:spacing w:after="0"/>
              <w:jc w:val="left"/>
            </w:pPr>
            <w:r>
              <w:rPr>
                <w:rFonts w:ascii="Calibri" w:hAnsi="Calibri"/>
                <w:b w:val="0"/>
                <w:i w:val="0"/>
                <w:color w:val="1B2A32"/>
                <w:sz w:val="19"/>
              </w:rPr>
              <w:t>IBC 2016; Companies Act 2013; CPC</w:t>
            </w:r>
          </w:p>
        </w:tc>
      </w:tr>
    </w:tbl>
    <w:p>
      <w:pPr>
        <w:spacing w:after="80"/>
      </w:pPr>
    </w:p>
    <w:p>
      <w:pPr>
        <w:spacing w:before="20" w:after="200"/>
        <w:jc w:val="center"/>
      </w:pPr>
      <w:r>
        <w:rPr>
          <w:rFonts w:ascii="Calibri" w:hAnsi="Calibri"/>
          <w:b w:val="0"/>
          <w:i/>
          <w:color w:val="556168"/>
          <w:sz w:val="17"/>
        </w:rPr>
        <w:t>Table 1 — Mechanism selection for commercial disputes.</w:t>
      </w:r>
    </w:p>
    <w:p>
      <w:pPr>
        <w:keepNext/>
        <w:spacing w:before="320" w:after="140"/>
        <w:pBdr>
          <w:bottom w:val="single" w:sz="12" w:space="3" w:color="C6A15B"/>
        </w:pBdr>
      </w:pPr>
      <w:r>
        <w:rPr>
          <w:rFonts w:ascii="Calibri" w:hAnsi="Calibri"/>
          <w:b/>
          <w:i w:val="0"/>
          <w:color w:val="123B4F"/>
          <w:sz w:val="34"/>
        </w:rPr>
        <w:t>6.  The Arbitration &amp; Conciliation Act, 1996</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backbone of binding commercial dispute resolution. A written </w:t>
            </w:r>
            <w:r>
              <w:rPr>
                <w:rFonts w:ascii="Calibri" w:hAnsi="Calibri"/>
                <w:b/>
                <w:i w:val="0"/>
                <w:color w:val="1B2A32"/>
                <w:sz w:val="20"/>
              </w:rPr>
              <w:t>arbitration agreement</w:t>
            </w:r>
            <w:r>
              <w:rPr>
                <w:rFonts w:ascii="Calibri" w:hAnsi="Calibri"/>
                <w:b w:val="0"/>
                <w:i w:val="0"/>
                <w:color w:val="1B2A32"/>
                <w:sz w:val="20"/>
              </w:rPr>
              <w:t xml:space="preserve"> sends the dispute to a private tribunal whose </w:t>
            </w:r>
            <w:r>
              <w:rPr>
                <w:rFonts w:ascii="Calibri" w:hAnsi="Calibri"/>
                <w:b/>
                <w:i w:val="0"/>
                <w:color w:val="1B2A32"/>
                <w:sz w:val="20"/>
              </w:rPr>
              <w:t>award</w:t>
            </w:r>
            <w:r>
              <w:rPr>
                <w:rFonts w:ascii="Calibri" w:hAnsi="Calibri"/>
                <w:b w:val="0"/>
                <w:i w:val="0"/>
                <w:color w:val="1B2A32"/>
                <w:sz w:val="20"/>
              </w:rPr>
              <w:t xml:space="preserve"> is final and enforceable </w:t>
            </w:r>
            <w:r>
              <w:rPr>
                <w:rFonts w:ascii="Calibri" w:hAnsi="Calibri"/>
                <w:b/>
                <w:i w:val="0"/>
                <w:color w:val="1B2A32"/>
                <w:sz w:val="20"/>
              </w:rPr>
              <w:t>as a court decree</w:t>
            </w:r>
            <w:r>
              <w:rPr>
                <w:rFonts w:ascii="Calibri" w:hAnsi="Calibri"/>
                <w:b w:val="0"/>
                <w:i w:val="0"/>
                <w:color w:val="1B2A32"/>
                <w:sz w:val="20"/>
              </w:rPr>
              <w:t xml:space="preserve">. The Act sets tight timelines, limits court interference, and lets the tribunal grant interim relief. A draft 2024 Bill pushes hard toward </w:t>
            </w:r>
            <w:r>
              <w:rPr>
                <w:rFonts w:ascii="Calibri" w:hAnsi="Calibri"/>
                <w:b/>
                <w:i w:val="0"/>
                <w:color w:val="1B2A32"/>
                <w:sz w:val="20"/>
              </w:rPr>
              <w:t>institutional</w:t>
            </w:r>
            <w:r>
              <w:rPr>
                <w:rFonts w:ascii="Calibri" w:hAnsi="Calibri"/>
                <w:b w:val="0"/>
                <w:i w:val="0"/>
                <w:color w:val="1B2A32"/>
                <w:sz w:val="20"/>
              </w:rPr>
              <w:t xml:space="preserve"> arbitration.</w:t>
            </w:r>
          </w:p>
        </w:tc>
      </w:tr>
    </w:tbl>
    <w:p>
      <w:pPr>
        <w:spacing w:after="120"/>
      </w:pPr>
    </w:p>
    <w:p>
      <w:pPr>
        <w:spacing w:after="140"/>
        <w:jc w:val="both"/>
      </w:pPr>
      <w:r>
        <w:rPr>
          <w:rFonts w:ascii="Calibri" w:hAnsi="Calibri"/>
          <w:b w:val="0"/>
          <w:i w:val="0"/>
          <w:color w:val="1B2A32"/>
          <w:sz w:val="21"/>
        </w:rPr>
        <w:t xml:space="preserve">The Act (Part I) governs India-seated arbitration end to end. It begins with the </w:t>
      </w:r>
      <w:r>
        <w:rPr>
          <w:rFonts w:ascii="Calibri" w:hAnsi="Calibri"/>
          <w:b/>
          <w:i w:val="0"/>
          <w:color w:val="1B2A32"/>
          <w:sz w:val="21"/>
        </w:rPr>
        <w:t>arbitration agreement</w:t>
      </w:r>
      <w:r>
        <w:rPr>
          <w:rFonts w:ascii="Calibri" w:hAnsi="Calibri"/>
          <w:b w:val="0"/>
          <w:i w:val="0"/>
          <w:color w:val="1B2A32"/>
          <w:sz w:val="21"/>
        </w:rPr>
        <w:t xml:space="preserve"> (Section 7) and the court's duty to refer parties to arbitration where one exists (Section 8), while preserving the court's power to grant </w:t>
      </w:r>
      <w:r>
        <w:rPr>
          <w:rFonts w:ascii="Calibri" w:hAnsi="Calibri"/>
          <w:b/>
          <w:i w:val="0"/>
          <w:color w:val="1B2A32"/>
          <w:sz w:val="21"/>
        </w:rPr>
        <w:t>interim measures</w:t>
      </w:r>
      <w:r>
        <w:rPr>
          <w:rFonts w:ascii="Calibri" w:hAnsi="Calibri"/>
          <w:b w:val="0"/>
          <w:i w:val="0"/>
          <w:color w:val="1B2A32"/>
          <w:sz w:val="21"/>
        </w:rPr>
        <w:t xml:space="preserve"> (Section 9). The tribunal is constituted by the parties or, failing agreement, by </w:t>
      </w:r>
      <w:r>
        <w:rPr>
          <w:rFonts w:ascii="Calibri" w:hAnsi="Calibri"/>
          <w:b/>
          <w:i w:val="0"/>
          <w:color w:val="1B2A32"/>
          <w:sz w:val="21"/>
        </w:rPr>
        <w:t>appointment</w:t>
      </w:r>
      <w:r>
        <w:rPr>
          <w:rFonts w:ascii="Calibri" w:hAnsi="Calibri"/>
          <w:b w:val="0"/>
          <w:i w:val="0"/>
          <w:color w:val="1B2A32"/>
          <w:sz w:val="21"/>
        </w:rPr>
        <w:t xml:space="preserve"> under Section 11 — which the 2019 amendments and the draft 2024 Bill would route through graded arbitral institutions rather than the courts. Every arbitrator must make </w:t>
      </w:r>
      <w:r>
        <w:rPr>
          <w:rFonts w:ascii="Calibri" w:hAnsi="Calibri"/>
          <w:b/>
          <w:i w:val="0"/>
          <w:color w:val="1B2A32"/>
          <w:sz w:val="21"/>
        </w:rPr>
        <w:t>disclosures</w:t>
      </w:r>
      <w:r>
        <w:rPr>
          <w:rFonts w:ascii="Calibri" w:hAnsi="Calibri"/>
          <w:b w:val="0"/>
          <w:i w:val="0"/>
          <w:color w:val="1B2A32"/>
          <w:sz w:val="21"/>
        </w:rPr>
        <w:t xml:space="preserve"> and satisfy the independence and impartiality tests in Section 12, read with the Fifth and Seventh Schedules. The tribunal rules on its own jurisdiction (</w:t>
      </w:r>
      <w:r>
        <w:rPr>
          <w:rFonts w:ascii="Calibri" w:hAnsi="Calibri"/>
          <w:b/>
          <w:i w:val="0"/>
          <w:color w:val="1B2A32"/>
          <w:sz w:val="21"/>
        </w:rPr>
        <w:t>kompetenz-kompetenz</w:t>
      </w:r>
      <w:r>
        <w:rPr>
          <w:rFonts w:ascii="Calibri" w:hAnsi="Calibri"/>
          <w:b w:val="0"/>
          <w:i w:val="0"/>
          <w:color w:val="1B2A32"/>
          <w:sz w:val="21"/>
        </w:rPr>
        <w:t xml:space="preserve">, Section 16) and may grant </w:t>
      </w:r>
      <w:r>
        <w:rPr>
          <w:rFonts w:ascii="Calibri" w:hAnsi="Calibri"/>
          <w:b/>
          <w:i w:val="0"/>
          <w:color w:val="1B2A32"/>
          <w:sz w:val="21"/>
        </w:rPr>
        <w:t>interim measures</w:t>
      </w:r>
      <w:r>
        <w:rPr>
          <w:rFonts w:ascii="Calibri" w:hAnsi="Calibri"/>
          <w:b w:val="0"/>
          <w:i w:val="0"/>
          <w:color w:val="1B2A32"/>
          <w:sz w:val="21"/>
        </w:rPr>
        <w:t xml:space="preserve"> itself (Section 17). The parties file their </w:t>
      </w:r>
      <w:r>
        <w:rPr>
          <w:rFonts w:ascii="Calibri" w:hAnsi="Calibri"/>
          <w:b/>
          <w:i w:val="0"/>
          <w:color w:val="1B2A32"/>
          <w:sz w:val="21"/>
        </w:rPr>
        <w:t>statements of claim and defence</w:t>
      </w:r>
      <w:r>
        <w:rPr>
          <w:rFonts w:ascii="Calibri" w:hAnsi="Calibri"/>
          <w:b w:val="0"/>
          <w:i w:val="0"/>
          <w:color w:val="1B2A32"/>
          <w:sz w:val="21"/>
        </w:rPr>
        <w:t xml:space="preserve"> (Section 23, including any counterclaim), evidence and hearings follow (Section 24), and the tribunal makes a reasoned </w:t>
      </w:r>
      <w:r>
        <w:rPr>
          <w:rFonts w:ascii="Calibri" w:hAnsi="Calibri"/>
          <w:b/>
          <w:i w:val="0"/>
          <w:color w:val="1B2A32"/>
          <w:sz w:val="21"/>
        </w:rPr>
        <w:t>award</w:t>
      </w:r>
      <w:r>
        <w:rPr>
          <w:rFonts w:ascii="Calibri" w:hAnsi="Calibri"/>
          <w:b w:val="0"/>
          <w:i w:val="0"/>
          <w:color w:val="1B2A32"/>
          <w:sz w:val="21"/>
        </w:rPr>
        <w:t xml:space="preserve"> (Section 31).</w:t>
      </w:r>
    </w:p>
    <w:p>
      <w:pPr>
        <w:spacing w:after="140"/>
        <w:jc w:val="both"/>
      </w:pPr>
      <w:r>
        <w:rPr>
          <w:rFonts w:ascii="Calibri" w:hAnsi="Calibri"/>
          <w:b w:val="0"/>
          <w:i w:val="0"/>
          <w:color w:val="1B2A32"/>
          <w:sz w:val="21"/>
        </w:rPr>
        <w:t xml:space="preserve">Two features make the Act commercially attractive: </w:t>
      </w:r>
      <w:r>
        <w:rPr>
          <w:rFonts w:ascii="Calibri" w:hAnsi="Calibri"/>
          <w:b/>
          <w:i w:val="0"/>
          <w:color w:val="1B2A32"/>
          <w:sz w:val="21"/>
        </w:rPr>
        <w:t>speed</w:t>
      </w:r>
      <w:r>
        <w:rPr>
          <w:rFonts w:ascii="Calibri" w:hAnsi="Calibri"/>
          <w:b w:val="0"/>
          <w:i w:val="0"/>
          <w:color w:val="1B2A32"/>
          <w:sz w:val="21"/>
        </w:rPr>
        <w:t xml:space="preserve"> and </w:t>
      </w:r>
      <w:r>
        <w:rPr>
          <w:rFonts w:ascii="Calibri" w:hAnsi="Calibri"/>
          <w:b/>
          <w:i w:val="0"/>
          <w:color w:val="1B2A32"/>
          <w:sz w:val="21"/>
        </w:rPr>
        <w:t>finality</w:t>
      </w:r>
      <w:r>
        <w:rPr>
          <w:rFonts w:ascii="Calibri" w:hAnsi="Calibri"/>
          <w:b w:val="0"/>
          <w:i w:val="0"/>
          <w:color w:val="1B2A32"/>
          <w:sz w:val="21"/>
        </w:rPr>
        <w:t xml:space="preserve">. Section 29A requires the award within </w:t>
      </w:r>
      <w:r>
        <w:rPr>
          <w:rFonts w:ascii="Calibri" w:hAnsi="Calibri"/>
          <w:b/>
          <w:i w:val="0"/>
          <w:color w:val="1B2A32"/>
          <w:sz w:val="21"/>
        </w:rPr>
        <w:t>12 months</w:t>
      </w:r>
      <w:r>
        <w:rPr>
          <w:rFonts w:ascii="Calibri" w:hAnsi="Calibri"/>
          <w:b w:val="0"/>
          <w:i w:val="0"/>
          <w:color w:val="1B2A32"/>
          <w:sz w:val="21"/>
        </w:rPr>
        <w:t xml:space="preserve"> of completion of pleadings, extendable by </w:t>
      </w:r>
      <w:r>
        <w:rPr>
          <w:rFonts w:ascii="Calibri" w:hAnsi="Calibri"/>
          <w:b/>
          <w:i w:val="0"/>
          <w:color w:val="1B2A32"/>
          <w:sz w:val="21"/>
        </w:rPr>
        <w:t>6 months</w:t>
      </w:r>
      <w:r>
        <w:rPr>
          <w:rFonts w:ascii="Calibri" w:hAnsi="Calibri"/>
          <w:b w:val="0"/>
          <w:i w:val="0"/>
          <w:color w:val="1B2A32"/>
          <w:sz w:val="21"/>
        </w:rPr>
        <w:t xml:space="preserve"> by consent (and only thereafter by court), and Section 29B offers an even faster </w:t>
      </w:r>
      <w:r>
        <w:rPr>
          <w:rFonts w:ascii="Calibri" w:hAnsi="Calibri"/>
          <w:b/>
          <w:i w:val="0"/>
          <w:color w:val="1B2A32"/>
          <w:sz w:val="21"/>
        </w:rPr>
        <w:t>fast-track</w:t>
      </w:r>
      <w:r>
        <w:rPr>
          <w:rFonts w:ascii="Calibri" w:hAnsi="Calibri"/>
          <w:b w:val="0"/>
          <w:i w:val="0"/>
          <w:color w:val="1B2A32"/>
          <w:sz w:val="21"/>
        </w:rPr>
        <w:t xml:space="preserve"> procedure. An award can be </w:t>
      </w:r>
      <w:r>
        <w:rPr>
          <w:rFonts w:ascii="Calibri" w:hAnsi="Calibri"/>
          <w:b/>
          <w:i w:val="0"/>
          <w:color w:val="1B2A32"/>
          <w:sz w:val="21"/>
        </w:rPr>
        <w:t>set aside</w:t>
      </w:r>
      <w:r>
        <w:rPr>
          <w:rFonts w:ascii="Calibri" w:hAnsi="Calibri"/>
          <w:b w:val="0"/>
          <w:i w:val="0"/>
          <w:color w:val="1B2A32"/>
          <w:sz w:val="21"/>
        </w:rPr>
        <w:t xml:space="preserve"> only on the narrow grounds in Section 34 (within three months, plus a 30-day grace period), and once that window passes it is </w:t>
      </w:r>
      <w:r>
        <w:rPr>
          <w:rFonts w:ascii="Calibri" w:hAnsi="Calibri"/>
          <w:b/>
          <w:i w:val="0"/>
          <w:color w:val="1B2A32"/>
          <w:sz w:val="21"/>
        </w:rPr>
        <w:t>enforceable as a decree</w:t>
      </w:r>
      <w:r>
        <w:rPr>
          <w:rFonts w:ascii="Calibri" w:hAnsi="Calibri"/>
          <w:b w:val="0"/>
          <w:i w:val="0"/>
          <w:color w:val="1B2A32"/>
          <w:sz w:val="21"/>
        </w:rPr>
        <w:t xml:space="preserve"> under Section 36. A settlement reached during arbitration is recorded as a </w:t>
      </w:r>
      <w:r>
        <w:rPr>
          <w:rFonts w:ascii="Calibri" w:hAnsi="Calibri"/>
          <w:b/>
          <w:i w:val="0"/>
          <w:color w:val="1B2A32"/>
          <w:sz w:val="21"/>
        </w:rPr>
        <w:t>consent award</w:t>
      </w:r>
      <w:r>
        <w:rPr>
          <w:rFonts w:ascii="Calibri" w:hAnsi="Calibri"/>
          <w:b w:val="0"/>
          <w:i w:val="0"/>
          <w:color w:val="1B2A32"/>
          <w:sz w:val="21"/>
        </w:rPr>
        <w:t xml:space="preserve"> (Section 30). Foreign awards are enforced under </w:t>
      </w:r>
      <w:r>
        <w:rPr>
          <w:rFonts w:ascii="Calibri" w:hAnsi="Calibri"/>
          <w:b/>
          <w:i w:val="0"/>
          <w:color w:val="1B2A32"/>
          <w:sz w:val="21"/>
        </w:rPr>
        <w:t>Part II</w:t>
      </w:r>
      <w:r>
        <w:rPr>
          <w:rFonts w:ascii="Calibri" w:hAnsi="Calibri"/>
          <w:b w:val="0"/>
          <w:i w:val="0"/>
          <w:color w:val="1B2A32"/>
          <w:sz w:val="21"/>
        </w:rPr>
        <w:t xml:space="preserve"> (the New York Convention, Sections 44–52).</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Arbitration &amp; Conciliation Act, 1996: s.7 (agreement), s.8 (reference), s.9 (court interim), s.11 (appointment), s.12 + Fifth/Seventh Schedules (disclosure, independence), s.16 (kompetenz-kompetenz), s.17 (tribunal interim), s.23 (pleadings/counterclaim), s.29A (12+6-month limit), s.29B (fast-track), s.30 (consent award), s.31 (award), s.34 (set aside), s.36 (enforcement), Part II ss.44–52 (foreign awards). Reform: draft </w:t>
            </w:r>
            <w:r>
              <w:rPr>
                <w:rFonts w:ascii="Calibri" w:hAnsi="Calibri"/>
                <w:b/>
                <w:i w:val="0"/>
                <w:color w:val="1B2A32"/>
                <w:sz w:val="20"/>
              </w:rPr>
              <w:t>Arbitration &amp; Conciliation (Amendment) Bill, 2024</w:t>
            </w:r>
            <w:r>
              <w:rPr>
                <w:rFonts w:ascii="Calibri" w:hAnsi="Calibri"/>
                <w:b w:val="0"/>
                <w:i w:val="0"/>
                <w:color w:val="1B2A32"/>
                <w:sz w:val="20"/>
              </w:rPr>
              <w:t xml:space="preserve"> (institutional arbitration; s.9A emergency arbitration; s.34 partial set-aside; appellate arbitration; Arbitration Council of India).</w:t>
            </w:r>
          </w:p>
        </w:tc>
      </w:tr>
    </w:tbl>
    <w:p>
      <w:pPr>
        <w:spacing w:after="120"/>
      </w:pPr>
    </w:p>
    <w:p>
      <w:pPr>
        <w:spacing w:before="80" w:after="40"/>
        <w:jc w:val="center"/>
      </w:pPr>
      <w:r>
        <w:drawing>
          <wp:inline xmlns:a="http://schemas.openxmlformats.org/drawingml/2006/main" xmlns:pic="http://schemas.openxmlformats.org/drawingml/2006/picture">
            <wp:extent cx="4206240" cy="5107577"/>
            <wp:docPr id="2" name="Picture 2"/>
            <wp:cNvGraphicFramePr>
              <a:graphicFrameLocks noChangeAspect="1"/>
            </wp:cNvGraphicFramePr>
            <a:graphic>
              <a:graphicData uri="http://schemas.openxmlformats.org/drawingml/2006/picture">
                <pic:pic>
                  <pic:nvPicPr>
                    <pic:cNvPr id="0" name="cm01_arbitration_lifecycle.png"/>
                    <pic:cNvPicPr/>
                  </pic:nvPicPr>
                  <pic:blipFill>
                    <a:blip r:embed="rId10"/>
                    <a:stretch>
                      <a:fillRect/>
                    </a:stretch>
                  </pic:blipFill>
                  <pic:spPr>
                    <a:xfrm>
                      <a:off x="0" y="0"/>
                      <a:ext cx="4206240" cy="5107577"/>
                    </a:xfrm>
                    <a:prstGeom prst="rect"/>
                  </pic:spPr>
                </pic:pic>
              </a:graphicData>
            </a:graphic>
          </wp:inline>
        </w:drawing>
      </w:r>
    </w:p>
    <w:p>
      <w:pPr>
        <w:spacing w:before="20" w:after="200"/>
        <w:jc w:val="center"/>
      </w:pPr>
      <w:r>
        <w:rPr>
          <w:rFonts w:ascii="Calibri" w:hAnsi="Calibri"/>
          <w:b w:val="0"/>
          <w:i/>
          <w:color w:val="556168"/>
          <w:sz w:val="17"/>
        </w:rPr>
        <w:t>Figure 2 — The arbitration lifecycle, from request to enforcement, within the s.29A clock.</w:t>
      </w:r>
    </w:p>
    <w:p>
      <w:pPr>
        <w:keepNext/>
        <w:spacing w:before="320" w:after="140"/>
        <w:pBdr>
          <w:bottom w:val="single" w:sz="12" w:space="3" w:color="C6A15B"/>
        </w:pBdr>
      </w:pPr>
      <w:r>
        <w:rPr>
          <w:rFonts w:ascii="Calibri" w:hAnsi="Calibri"/>
          <w:b/>
          <w:i w:val="0"/>
          <w:color w:val="123B4F"/>
          <w:sz w:val="34"/>
        </w:rPr>
        <w:t>7.  Mediation &amp; Mandatory Pre-Institution Mediation (s.12A)</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Mediation is the settlement route — voluntary, or </w:t>
            </w:r>
            <w:r>
              <w:rPr>
                <w:rFonts w:ascii="Calibri" w:hAnsi="Calibri"/>
                <w:b/>
                <w:i w:val="0"/>
                <w:color w:val="1B2A32"/>
                <w:sz w:val="20"/>
              </w:rPr>
              <w:t>mandatory</w:t>
            </w:r>
            <w:r>
              <w:rPr>
                <w:rFonts w:ascii="Calibri" w:hAnsi="Calibri"/>
                <w:b w:val="0"/>
                <w:i w:val="0"/>
                <w:color w:val="1B2A32"/>
                <w:sz w:val="20"/>
              </w:rPr>
              <w:t xml:space="preserve"> before filing a commercial suit of specified value. Since the Supreme Court's Patil Automation ruling, a commercial plaint filed without first attempting Section 12A mediation can be </w:t>
            </w:r>
            <w:r>
              <w:rPr>
                <w:rFonts w:ascii="Calibri" w:hAnsi="Calibri"/>
                <w:b/>
                <w:i w:val="0"/>
                <w:color w:val="1B2A32"/>
                <w:sz w:val="20"/>
              </w:rPr>
              <w:t>rejected</w:t>
            </w:r>
            <w:r>
              <w:rPr>
                <w:rFonts w:ascii="Calibri" w:hAnsi="Calibri"/>
                <w:b w:val="0"/>
                <w:i w:val="0"/>
                <w:color w:val="1B2A32"/>
                <w:sz w:val="20"/>
              </w:rPr>
              <w:t xml:space="preserve"> — unless it genuinely needs urgent interim relief. The settlement, once signed, is enforceable as a decree.</w:t>
            </w:r>
          </w:p>
        </w:tc>
      </w:tr>
    </w:tbl>
    <w:p>
      <w:pPr>
        <w:spacing w:after="120"/>
      </w:pPr>
    </w:p>
    <w:p>
      <w:pPr>
        <w:spacing w:after="140"/>
        <w:jc w:val="both"/>
      </w:pPr>
      <w:r>
        <w:rPr>
          <w:rFonts w:ascii="Calibri" w:hAnsi="Calibri"/>
          <w:b w:val="0"/>
          <w:i w:val="0"/>
          <w:color w:val="1B2A32"/>
          <w:sz w:val="21"/>
        </w:rPr>
        <w:t xml:space="preserve">The Mediation Act, 2023 gives commercial mediation its general framework (see the family Blueprint for the Act's mechanics — 120+60-day clock, the Mediated Settlement Agreement, confidentiality, and enforceability as a decree under Section 27). Layered on top, </w:t>
      </w:r>
      <w:r>
        <w:rPr>
          <w:rFonts w:ascii="Calibri" w:hAnsi="Calibri"/>
          <w:b/>
          <w:i w:val="0"/>
          <w:color w:val="1B2A32"/>
          <w:sz w:val="21"/>
        </w:rPr>
        <w:t>Section 12A of the Commercial Courts Act, 2015</w:t>
      </w:r>
      <w:r>
        <w:rPr>
          <w:rFonts w:ascii="Calibri" w:hAnsi="Calibri"/>
          <w:b w:val="0"/>
          <w:i w:val="0"/>
          <w:color w:val="1B2A32"/>
          <w:sz w:val="21"/>
        </w:rPr>
        <w:t xml:space="preserve"> makes pre-institution mediation a </w:t>
      </w:r>
      <w:r>
        <w:rPr>
          <w:rFonts w:ascii="Calibri" w:hAnsi="Calibri"/>
          <w:b/>
          <w:i w:val="0"/>
          <w:color w:val="1B2A32"/>
          <w:sz w:val="21"/>
        </w:rPr>
        <w:t>mandatory gateway</w:t>
      </w:r>
      <w:r>
        <w:rPr>
          <w:rFonts w:ascii="Calibri" w:hAnsi="Calibri"/>
          <w:b w:val="0"/>
          <w:i w:val="0"/>
          <w:color w:val="1B2A32"/>
          <w:sz w:val="21"/>
        </w:rPr>
        <w:t xml:space="preserve">: a party cannot institute a commercial suit of specified value that does not contemplate urgent interim relief without first exhausting mediation, administered through the authorities notified for the purpose, to be completed within </w:t>
      </w:r>
      <w:r>
        <w:rPr>
          <w:rFonts w:ascii="Calibri" w:hAnsi="Calibri"/>
          <w:b/>
          <w:i w:val="0"/>
          <w:color w:val="1B2A32"/>
          <w:sz w:val="21"/>
        </w:rPr>
        <w:t>three months (extendable by two)</w:t>
      </w:r>
      <w:r>
        <w:rPr>
          <w:rFonts w:ascii="Calibri" w:hAnsi="Calibri"/>
          <w:b w:val="0"/>
          <w:i w:val="0"/>
          <w:color w:val="1B2A32"/>
          <w:sz w:val="21"/>
        </w:rPr>
        <w:t xml:space="preserve">. The Supreme Court in </w:t>
      </w:r>
      <w:r>
        <w:rPr>
          <w:rFonts w:ascii="Calibri" w:hAnsi="Calibri"/>
          <w:b/>
          <w:i w:val="0"/>
          <w:color w:val="1B2A32"/>
          <w:sz w:val="21"/>
        </w:rPr>
        <w:t>Patil Automation</w:t>
      </w:r>
      <w:r>
        <w:rPr>
          <w:rFonts w:ascii="Calibri" w:hAnsi="Calibri"/>
          <w:b w:val="0"/>
          <w:i w:val="0"/>
          <w:color w:val="1B2A32"/>
          <w:sz w:val="21"/>
        </w:rPr>
        <w:t xml:space="preserve"> held this requirement mandatory, so that a plaint filed in breach is liable to be rejected — a powerful driver of mediation demand that Equator is built to serve.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Mediation Act, 2023 (s.19 MSA, s.20 registration, s.22 confidentiality, s.27 enforceable as decree, s.28 challenge). Commercial Courts Act, 2015: </w:t>
            </w:r>
            <w:r>
              <w:rPr>
                <w:rFonts w:ascii="Calibri" w:hAnsi="Calibri"/>
                <w:b/>
                <w:i w:val="0"/>
                <w:color w:val="1B2A32"/>
                <w:sz w:val="20"/>
              </w:rPr>
              <w:t>s.12A</w:t>
            </w:r>
            <w:r>
              <w:rPr>
                <w:rFonts w:ascii="Calibri" w:hAnsi="Calibri"/>
                <w:b w:val="0"/>
                <w:i w:val="0"/>
                <w:color w:val="1B2A32"/>
                <w:sz w:val="20"/>
              </w:rPr>
              <w:t xml:space="preserve"> (mandatory pre-institution mediation; specified value). </w:t>
            </w:r>
            <w:r>
              <w:rPr>
                <w:rFonts w:ascii="Calibri" w:hAnsi="Calibri"/>
                <w:b/>
                <w:i w:val="0"/>
                <w:color w:val="1B2A32"/>
                <w:sz w:val="20"/>
              </w:rPr>
              <w:t>M/s Patil Automation Pvt. Ltd. v. Rakheja Engineers Pvt. Ltd., (2022) 10 SCC 1</w:t>
            </w:r>
            <w:r>
              <w:rPr>
                <w:rFonts w:ascii="Calibri" w:hAnsi="Calibri"/>
                <w:b w:val="0"/>
                <w:i w:val="0"/>
                <w:color w:val="1B2A32"/>
                <w:sz w:val="20"/>
              </w:rPr>
              <w:t xml:space="preserve"> (s.12A is mandatory; prospective from 20 August 2022; urgent-interim-relief exception).</w:t>
            </w:r>
          </w:p>
        </w:tc>
      </w:tr>
    </w:tbl>
    <w:p>
      <w:pPr>
        <w:spacing w:after="120"/>
      </w:pPr>
    </w:p>
    <w:p>
      <w:pPr>
        <w:spacing w:before="80" w:after="40"/>
        <w:jc w:val="center"/>
      </w:pPr>
      <w:r>
        <w:drawing>
          <wp:inline xmlns:a="http://schemas.openxmlformats.org/drawingml/2006/main" xmlns:pic="http://schemas.openxmlformats.org/drawingml/2006/picture">
            <wp:extent cx="4023360" cy="3128149"/>
            <wp:docPr id="3" name="Picture 3"/>
            <wp:cNvGraphicFramePr>
              <a:graphicFrameLocks noChangeAspect="1"/>
            </wp:cNvGraphicFramePr>
            <a:graphic>
              <a:graphicData uri="http://schemas.openxmlformats.org/drawingml/2006/picture">
                <pic:pic>
                  <pic:nvPicPr>
                    <pic:cNvPr id="0" name="cm02_mediation_s12a.png"/>
                    <pic:cNvPicPr/>
                  </pic:nvPicPr>
                  <pic:blipFill>
                    <a:blip r:embed="rId11"/>
                    <a:stretch>
                      <a:fillRect/>
                    </a:stretch>
                  </pic:blipFill>
                  <pic:spPr>
                    <a:xfrm>
                      <a:off x="0" y="0"/>
                      <a:ext cx="4023360" cy="3128149"/>
                    </a:xfrm>
                    <a:prstGeom prst="rect"/>
                  </pic:spPr>
                </pic:pic>
              </a:graphicData>
            </a:graphic>
          </wp:inline>
        </w:drawing>
      </w:r>
    </w:p>
    <w:p>
      <w:pPr>
        <w:spacing w:before="20" w:after="200"/>
        <w:jc w:val="center"/>
      </w:pPr>
      <w:r>
        <w:rPr>
          <w:rFonts w:ascii="Calibri" w:hAnsi="Calibri"/>
          <w:b w:val="0"/>
          <w:i/>
          <w:color w:val="556168"/>
          <w:sz w:val="17"/>
        </w:rPr>
        <w:t>Figure 3 — The mandatory Section 12A pre-institution mediation gateway.</w:t>
      </w:r>
    </w:p>
    <w:p>
      <w:pPr>
        <w:keepNext/>
        <w:spacing w:before="320" w:after="140"/>
        <w:pBdr>
          <w:bottom w:val="single" w:sz="12" w:space="3" w:color="C6A15B"/>
        </w:pBdr>
      </w:pPr>
      <w:r>
        <w:rPr>
          <w:rFonts w:ascii="Calibri" w:hAnsi="Calibri"/>
          <w:b/>
          <w:i w:val="0"/>
          <w:color w:val="123B4F"/>
          <w:sz w:val="34"/>
        </w:rPr>
        <w:t>8.  MSME Dispute Resolution (MSMED Act, 2006)</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A statutory fast track for micro and small suppliers chasing </w:t>
            </w:r>
            <w:r>
              <w:rPr>
                <w:rFonts w:ascii="Calibri" w:hAnsi="Calibri"/>
                <w:b/>
                <w:i w:val="0"/>
                <w:color w:val="1B2A32"/>
                <w:sz w:val="20"/>
              </w:rPr>
              <w:t>delayed payments</w:t>
            </w:r>
            <w:r>
              <w:rPr>
                <w:rFonts w:ascii="Calibri" w:hAnsi="Calibri"/>
                <w:b w:val="0"/>
                <w:i w:val="0"/>
                <w:color w:val="1B2A32"/>
                <w:sz w:val="20"/>
              </w:rPr>
              <w:t xml:space="preserve">. If a buyer doesn't pay within 45 days, the supplier files on the </w:t>
            </w:r>
            <w:r>
              <w:rPr>
                <w:rFonts w:ascii="Calibri" w:hAnsi="Calibri"/>
                <w:b/>
                <w:i w:val="0"/>
                <w:color w:val="1B2A32"/>
                <w:sz w:val="20"/>
              </w:rPr>
              <w:t>MSME Samadhaan</w:t>
            </w:r>
            <w:r>
              <w:rPr>
                <w:rFonts w:ascii="Calibri" w:hAnsi="Calibri"/>
                <w:b w:val="0"/>
                <w:i w:val="0"/>
                <w:color w:val="1B2A32"/>
                <w:sz w:val="20"/>
              </w:rPr>
              <w:t xml:space="preserve"> portal; the Facilitation Council first </w:t>
            </w:r>
            <w:r>
              <w:rPr>
                <w:rFonts w:ascii="Calibri" w:hAnsi="Calibri"/>
                <w:b/>
                <w:i w:val="0"/>
                <w:color w:val="1B2A32"/>
                <w:sz w:val="20"/>
              </w:rPr>
              <w:t>conciliates</w:t>
            </w:r>
            <w:r>
              <w:rPr>
                <w:rFonts w:ascii="Calibri" w:hAnsi="Calibri"/>
                <w:b w:val="0"/>
                <w:i w:val="0"/>
                <w:color w:val="1B2A32"/>
                <w:sz w:val="20"/>
              </w:rPr>
              <w:t xml:space="preserve">, and if that fails, </w:t>
            </w:r>
            <w:r>
              <w:rPr>
                <w:rFonts w:ascii="Calibri" w:hAnsi="Calibri"/>
                <w:b/>
                <w:i w:val="0"/>
                <w:color w:val="1B2A32"/>
                <w:sz w:val="20"/>
              </w:rPr>
              <w:t>arbitrates</w:t>
            </w:r>
            <w:r>
              <w:rPr>
                <w:rFonts w:ascii="Calibri" w:hAnsi="Calibri"/>
                <w:b w:val="0"/>
                <w:i w:val="0"/>
                <w:color w:val="1B2A32"/>
                <w:sz w:val="20"/>
              </w:rPr>
              <w:t xml:space="preserve"> — with hefty statutory </w:t>
            </w:r>
            <w:r>
              <w:rPr>
                <w:rFonts w:ascii="Calibri" w:hAnsi="Calibri"/>
                <w:b/>
                <w:i w:val="0"/>
                <w:color w:val="1B2A32"/>
                <w:sz w:val="20"/>
              </w:rPr>
              <w:t>interest</w:t>
            </w:r>
            <w:r>
              <w:rPr>
                <w:rFonts w:ascii="Calibri" w:hAnsi="Calibri"/>
                <w:b w:val="0"/>
                <w:i w:val="0"/>
                <w:color w:val="1B2A32"/>
                <w:sz w:val="20"/>
              </w:rPr>
              <w:t xml:space="preserve"> (three times the bank rate, compounded monthly) as leverage.</w:t>
            </w:r>
          </w:p>
        </w:tc>
      </w:tr>
    </w:tbl>
    <w:p>
      <w:pPr>
        <w:spacing w:after="120"/>
      </w:pPr>
    </w:p>
    <w:p>
      <w:pPr>
        <w:spacing w:after="140"/>
        <w:jc w:val="both"/>
      </w:pPr>
      <w:r>
        <w:rPr>
          <w:rFonts w:ascii="Calibri" w:hAnsi="Calibri"/>
          <w:b w:val="0"/>
          <w:i w:val="0"/>
          <w:color w:val="1B2A32"/>
          <w:sz w:val="21"/>
        </w:rPr>
        <w:t xml:space="preserve">The MSMED Act, 2006 creates a powerful, supplier-friendly regime. A buyer must pay a micro or small enterprise within the agreed period or, failing agreement, within </w:t>
      </w:r>
      <w:r>
        <w:rPr>
          <w:rFonts w:ascii="Calibri" w:hAnsi="Calibri"/>
          <w:b/>
          <w:i w:val="0"/>
          <w:color w:val="1B2A32"/>
          <w:sz w:val="21"/>
        </w:rPr>
        <w:t>45 days</w:t>
      </w:r>
      <w:r>
        <w:rPr>
          <w:rFonts w:ascii="Calibri" w:hAnsi="Calibri"/>
          <w:b w:val="0"/>
          <w:i w:val="0"/>
          <w:color w:val="1B2A32"/>
          <w:sz w:val="21"/>
        </w:rPr>
        <w:t xml:space="preserve"> (Section 15); on default, the buyer is liable to </w:t>
      </w:r>
      <w:r>
        <w:rPr>
          <w:rFonts w:ascii="Calibri" w:hAnsi="Calibri"/>
          <w:b/>
          <w:i w:val="0"/>
          <w:color w:val="1B2A32"/>
          <w:sz w:val="21"/>
        </w:rPr>
        <w:t>compound interest at three times the RBI bank rate</w:t>
      </w:r>
      <w:r>
        <w:rPr>
          <w:rFonts w:ascii="Calibri" w:hAnsi="Calibri"/>
          <w:b w:val="0"/>
          <w:i w:val="0"/>
          <w:color w:val="1B2A32"/>
          <w:sz w:val="21"/>
        </w:rPr>
        <w:t xml:space="preserve"> (Section 16). The supplier invokes the </w:t>
      </w:r>
      <w:r>
        <w:rPr>
          <w:rFonts w:ascii="Calibri" w:hAnsi="Calibri"/>
          <w:b/>
          <w:i w:val="0"/>
          <w:color w:val="1B2A32"/>
          <w:sz w:val="21"/>
        </w:rPr>
        <w:t>Micro and Small Enterprises Facilitation Council (MSEFC)</w:t>
      </w:r>
      <w:r>
        <w:rPr>
          <w:rFonts w:ascii="Calibri" w:hAnsi="Calibri"/>
          <w:b w:val="0"/>
          <w:i w:val="0"/>
          <w:color w:val="1B2A32"/>
          <w:sz w:val="21"/>
        </w:rPr>
        <w:t xml:space="preserve"> under </w:t>
      </w:r>
      <w:r>
        <w:rPr>
          <w:rFonts w:ascii="Calibri" w:hAnsi="Calibri"/>
          <w:b/>
          <w:i w:val="0"/>
          <w:color w:val="1B2A32"/>
          <w:sz w:val="21"/>
        </w:rPr>
        <w:t>Section 18</w:t>
      </w:r>
      <w:r>
        <w:rPr>
          <w:rFonts w:ascii="Calibri" w:hAnsi="Calibri"/>
          <w:b w:val="0"/>
          <w:i w:val="0"/>
          <w:color w:val="1B2A32"/>
          <w:sz w:val="21"/>
        </w:rPr>
        <w:t xml:space="preserve">, in practice through the </w:t>
      </w:r>
      <w:r>
        <w:rPr>
          <w:rFonts w:ascii="Calibri" w:hAnsi="Calibri"/>
          <w:b/>
          <w:i w:val="0"/>
          <w:color w:val="1B2A32"/>
          <w:sz w:val="21"/>
        </w:rPr>
        <w:t>MSME Samadhaan</w:t>
      </w:r>
      <w:r>
        <w:rPr>
          <w:rFonts w:ascii="Calibri" w:hAnsi="Calibri"/>
          <w:b w:val="0"/>
          <w:i w:val="0"/>
          <w:color w:val="1B2A32"/>
          <w:sz w:val="21"/>
        </w:rPr>
        <w:t xml:space="preserve"> online portal; the Council first attempts </w:t>
      </w:r>
      <w:r>
        <w:rPr>
          <w:rFonts w:ascii="Calibri" w:hAnsi="Calibri"/>
          <w:b/>
          <w:i w:val="0"/>
          <w:color w:val="1B2A32"/>
          <w:sz w:val="21"/>
        </w:rPr>
        <w:t>conciliation</w:t>
      </w:r>
      <w:r>
        <w:rPr>
          <w:rFonts w:ascii="Calibri" w:hAnsi="Calibri"/>
          <w:b w:val="0"/>
          <w:i w:val="0"/>
          <w:color w:val="1B2A32"/>
          <w:sz w:val="21"/>
        </w:rPr>
        <w:t xml:space="preserve"> and, if that fails, takes up or refers the dispute to </w:t>
      </w:r>
      <w:r>
        <w:rPr>
          <w:rFonts w:ascii="Calibri" w:hAnsi="Calibri"/>
          <w:b/>
          <w:i w:val="0"/>
          <w:color w:val="1B2A32"/>
          <w:sz w:val="21"/>
        </w:rPr>
        <w:t>arbitration</w:t>
      </w:r>
      <w:r>
        <w:rPr>
          <w:rFonts w:ascii="Calibri" w:hAnsi="Calibri"/>
          <w:b w:val="0"/>
          <w:i w:val="0"/>
          <w:color w:val="1B2A32"/>
          <w:sz w:val="21"/>
        </w:rPr>
        <w:t xml:space="preserve">, to which the Arbitration &amp; Conciliation Act applies, aiming to decide within </w:t>
      </w:r>
      <w:r>
        <w:rPr>
          <w:rFonts w:ascii="Calibri" w:hAnsi="Calibri"/>
          <w:b/>
          <w:i w:val="0"/>
          <w:color w:val="1B2A32"/>
          <w:sz w:val="21"/>
        </w:rPr>
        <w:t>90 days</w:t>
      </w:r>
      <w:r>
        <w:rPr>
          <w:rFonts w:ascii="Calibri" w:hAnsi="Calibri"/>
          <w:b w:val="0"/>
          <w:i w:val="0"/>
          <w:color w:val="1B2A32"/>
          <w:sz w:val="21"/>
        </w:rPr>
        <w:t xml:space="preserve">. A buyer wishing to challenge an award must first deposit </w:t>
      </w:r>
      <w:r>
        <w:rPr>
          <w:rFonts w:ascii="Calibri" w:hAnsi="Calibri"/>
          <w:b/>
          <w:i w:val="0"/>
          <w:color w:val="1B2A32"/>
          <w:sz w:val="21"/>
        </w:rPr>
        <w:t>75%</w:t>
      </w:r>
      <w:r>
        <w:rPr>
          <w:rFonts w:ascii="Calibri" w:hAnsi="Calibri"/>
          <w:b w:val="0"/>
          <w:i w:val="0"/>
          <w:color w:val="1B2A32"/>
          <w:sz w:val="21"/>
        </w:rPr>
        <w:t xml:space="preserve"> of the amount (Section 19). Equator can serve this market both as a Council-referred institution and by helping suppliers prepare and file — with an interest calculator built in.</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MSMED Act, 2006: s.15 (45-day payment), s.16 (interest at 3× bank rate, compounded monthly), s.17 (recovery), </w:t>
            </w:r>
            <w:r>
              <w:rPr>
                <w:rFonts w:ascii="Calibri" w:hAnsi="Calibri"/>
                <w:b/>
                <w:i w:val="0"/>
                <w:color w:val="1B2A32"/>
                <w:sz w:val="20"/>
              </w:rPr>
              <w:t>s.18 (MSEFC conciliation then arbitration; ~90 days)</w:t>
            </w:r>
            <w:r>
              <w:rPr>
                <w:rFonts w:ascii="Calibri" w:hAnsi="Calibri"/>
                <w:b w:val="0"/>
                <w:i w:val="0"/>
                <w:color w:val="1B2A32"/>
                <w:sz w:val="20"/>
              </w:rPr>
              <w:t>, s.19 (75% pre-deposit to challenge). Delivered via the MSME Samadhaan portal. 2024 Supreme Court jurisprudence continues to refine the conciliation/arbitration interface.</w:t>
            </w:r>
          </w:p>
        </w:tc>
      </w:tr>
    </w:tbl>
    <w:p>
      <w:pPr>
        <w:spacing w:after="120"/>
      </w:pPr>
    </w:p>
    <w:p>
      <w:pPr>
        <w:spacing w:before="80" w:after="40"/>
        <w:jc w:val="center"/>
      </w:pPr>
      <w:r>
        <w:drawing>
          <wp:inline xmlns:a="http://schemas.openxmlformats.org/drawingml/2006/main" xmlns:pic="http://schemas.openxmlformats.org/drawingml/2006/picture">
            <wp:extent cx="4114800" cy="3555332"/>
            <wp:docPr id="4" name="Picture 4"/>
            <wp:cNvGraphicFramePr>
              <a:graphicFrameLocks noChangeAspect="1"/>
            </wp:cNvGraphicFramePr>
            <a:graphic>
              <a:graphicData uri="http://schemas.openxmlformats.org/drawingml/2006/picture">
                <pic:pic>
                  <pic:nvPicPr>
                    <pic:cNvPr id="0" name="cm03_msme_samadhaan.png"/>
                    <pic:cNvPicPr/>
                  </pic:nvPicPr>
                  <pic:blipFill>
                    <a:blip r:embed="rId12"/>
                    <a:stretch>
                      <a:fillRect/>
                    </a:stretch>
                  </pic:blipFill>
                  <pic:spPr>
                    <a:xfrm>
                      <a:off x="0" y="0"/>
                      <a:ext cx="4114800" cy="3555332"/>
                    </a:xfrm>
                    <a:prstGeom prst="rect"/>
                  </pic:spPr>
                </pic:pic>
              </a:graphicData>
            </a:graphic>
          </wp:inline>
        </w:drawing>
      </w:r>
    </w:p>
    <w:p>
      <w:pPr>
        <w:spacing w:before="20" w:after="200"/>
        <w:jc w:val="center"/>
      </w:pPr>
      <w:r>
        <w:rPr>
          <w:rFonts w:ascii="Calibri" w:hAnsi="Calibri"/>
          <w:b w:val="0"/>
          <w:i/>
          <w:color w:val="556168"/>
          <w:sz w:val="17"/>
        </w:rPr>
        <w:t>Figure 4 — The MSME delayed-payment route: Samadhaan → conciliation → arbitration.</w:t>
      </w:r>
    </w:p>
    <w:p>
      <w:pPr>
        <w:keepNext/>
        <w:spacing w:before="320" w:after="140"/>
        <w:pBdr>
          <w:bottom w:val="single" w:sz="12" w:space="3" w:color="C6A15B"/>
        </w:pBdr>
      </w:pPr>
      <w:r>
        <w:rPr>
          <w:rFonts w:ascii="Calibri" w:hAnsi="Calibri"/>
          <w:b/>
          <w:i w:val="0"/>
          <w:color w:val="123B4F"/>
          <w:sz w:val="34"/>
        </w:rPr>
        <w:t>9.  Company &amp; Shareholder Disputes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Fights between shareholders, partners, JV partners and within companies. Many are resolved by arbitration under the shareholders'/JV agreement — but </w:t>
            </w:r>
            <w:r>
              <w:rPr>
                <w:rFonts w:ascii="Calibri" w:hAnsi="Calibri"/>
                <w:b/>
                <w:i w:val="0"/>
                <w:color w:val="1B2A32"/>
                <w:sz w:val="20"/>
              </w:rPr>
              <w:t>oppression and mismanagement</w:t>
            </w:r>
            <w:r>
              <w:rPr>
                <w:rFonts w:ascii="Calibri" w:hAnsi="Calibri"/>
                <w:b w:val="0"/>
                <w:i w:val="0"/>
                <w:color w:val="1B2A32"/>
                <w:sz w:val="20"/>
              </w:rPr>
              <w:t xml:space="preserve"> claims and </w:t>
            </w:r>
            <w:r>
              <w:rPr>
                <w:rFonts w:ascii="Calibri" w:hAnsi="Calibri"/>
                <w:b/>
                <w:i w:val="0"/>
                <w:color w:val="1B2A32"/>
                <w:sz w:val="20"/>
              </w:rPr>
              <w:t>insolvency</w:t>
            </w:r>
            <w:r>
              <w:rPr>
                <w:rFonts w:ascii="Calibri" w:hAnsi="Calibri"/>
                <w:b w:val="0"/>
                <w:i w:val="0"/>
                <w:color w:val="1B2A32"/>
                <w:sz w:val="20"/>
              </w:rPr>
              <w:t xml:space="preserve"> are for the NCLT and are generally </w:t>
            </w:r>
            <w:r>
              <w:rPr>
                <w:rFonts w:ascii="Calibri" w:hAnsi="Calibri"/>
                <w:b/>
                <w:i w:val="0"/>
                <w:color w:val="1B2A32"/>
                <w:sz w:val="20"/>
              </w:rPr>
              <w:t>not</w:t>
            </w:r>
            <w:r>
              <w:rPr>
                <w:rFonts w:ascii="Calibri" w:hAnsi="Calibri"/>
                <w:b w:val="0"/>
                <w:i w:val="0"/>
                <w:color w:val="1B2A32"/>
                <w:sz w:val="20"/>
              </w:rPr>
              <w:t xml:space="preserve"> arbitrable.</w:t>
            </w:r>
          </w:p>
        </w:tc>
      </w:tr>
    </w:tbl>
    <w:p>
      <w:pPr>
        <w:spacing w:after="120"/>
      </w:pPr>
    </w:p>
    <w:p>
      <w:pPr>
        <w:spacing w:after="140"/>
        <w:jc w:val="both"/>
      </w:pPr>
      <w:r>
        <w:rPr>
          <w:rFonts w:ascii="Calibri" w:hAnsi="Calibri"/>
          <w:b w:val="0"/>
          <w:i w:val="0"/>
          <w:color w:val="1B2A32"/>
          <w:sz w:val="21"/>
        </w:rPr>
        <w:t xml:space="preserve">Company and shareholder disputes span a spectrum. Contractual disputes under </w:t>
      </w:r>
      <w:r>
        <w:rPr>
          <w:rFonts w:ascii="Calibri" w:hAnsi="Calibri"/>
          <w:b/>
          <w:i w:val="0"/>
          <w:color w:val="1B2A32"/>
          <w:sz w:val="21"/>
        </w:rPr>
        <w:t>shareholders' agreements, joint-venture and founders' agreements</w:t>
      </w:r>
      <w:r>
        <w:rPr>
          <w:rFonts w:ascii="Calibri" w:hAnsi="Calibri"/>
          <w:b w:val="0"/>
          <w:i w:val="0"/>
          <w:color w:val="1B2A32"/>
          <w:sz w:val="21"/>
        </w:rPr>
        <w:t xml:space="preserve"> — on transfers, pre-emption, board rights, exit and valuation — are ordinarily </w:t>
      </w:r>
      <w:r>
        <w:rPr>
          <w:rFonts w:ascii="Calibri" w:hAnsi="Calibri"/>
          <w:b/>
          <w:i w:val="0"/>
          <w:color w:val="1B2A32"/>
          <w:sz w:val="21"/>
        </w:rPr>
        <w:t>arbitrable</w:t>
      </w:r>
      <w:r>
        <w:rPr>
          <w:rFonts w:ascii="Calibri" w:hAnsi="Calibri"/>
          <w:b w:val="0"/>
          <w:i w:val="0"/>
          <w:color w:val="1B2A32"/>
          <w:sz w:val="21"/>
        </w:rPr>
        <w:t xml:space="preserve"> and are a core Equator arbitration segment. But claims of </w:t>
      </w:r>
      <w:r>
        <w:rPr>
          <w:rFonts w:ascii="Calibri" w:hAnsi="Calibri"/>
          <w:b/>
          <w:i w:val="0"/>
          <w:color w:val="1B2A32"/>
          <w:sz w:val="21"/>
        </w:rPr>
        <w:t>oppression and mismanagement</w:t>
      </w:r>
      <w:r>
        <w:rPr>
          <w:rFonts w:ascii="Calibri" w:hAnsi="Calibri"/>
          <w:b w:val="0"/>
          <w:i w:val="0"/>
          <w:color w:val="1B2A32"/>
          <w:sz w:val="21"/>
        </w:rPr>
        <w:t xml:space="preserve"> under Sections 241–242 of the Companies Act, 2013 fall within the exclusive jurisdiction of the </w:t>
      </w:r>
      <w:r>
        <w:rPr>
          <w:rFonts w:ascii="Calibri" w:hAnsi="Calibri"/>
          <w:b/>
          <w:i w:val="0"/>
          <w:color w:val="1B2A32"/>
          <w:sz w:val="21"/>
        </w:rPr>
        <w:t>National Company Law Tribunal (NCLT)</w:t>
      </w:r>
      <w:r>
        <w:rPr>
          <w:rFonts w:ascii="Calibri" w:hAnsi="Calibri"/>
          <w:b w:val="0"/>
          <w:i w:val="0"/>
          <w:color w:val="1B2A32"/>
          <w:sz w:val="21"/>
        </w:rPr>
        <w:t xml:space="preserve">, involve rights that affect the company and third parties, and are generally treated as </w:t>
      </w:r>
      <w:r>
        <w:rPr>
          <w:rFonts w:ascii="Calibri" w:hAnsi="Calibri"/>
          <w:b/>
          <w:i w:val="0"/>
          <w:color w:val="1B2A32"/>
          <w:sz w:val="21"/>
        </w:rPr>
        <w:t>non-arbitrable</w:t>
      </w:r>
      <w:r>
        <w:rPr>
          <w:rFonts w:ascii="Calibri" w:hAnsi="Calibri"/>
          <w:b w:val="0"/>
          <w:i w:val="0"/>
          <w:color w:val="1B2A32"/>
          <w:sz w:val="21"/>
        </w:rPr>
        <w:t xml:space="preserve">; likewise </w:t>
      </w:r>
      <w:r>
        <w:rPr>
          <w:rFonts w:ascii="Calibri" w:hAnsi="Calibri"/>
          <w:b/>
          <w:i w:val="0"/>
          <w:color w:val="1B2A32"/>
          <w:sz w:val="21"/>
        </w:rPr>
        <w:t>insolvency</w:t>
      </w:r>
      <w:r>
        <w:rPr>
          <w:rFonts w:ascii="Calibri" w:hAnsi="Calibri"/>
          <w:b w:val="0"/>
          <w:i w:val="0"/>
          <w:color w:val="1B2A32"/>
          <w:sz w:val="21"/>
        </w:rPr>
        <w:t xml:space="preserve"> proceedings under the IBC, 2016. Equator's role is to arbitrate the contractual layer, mediate the relationship and commercial terms where possible, and route the statutory company-law remedies to the NCLT — while a mediated settlement can still resolve the underlying commercial reality behind an oppression petition.</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Companies Act, 2013: ss.241–242 (oppression &amp; mismanagement, NCLT), s.245 (class action). Insolvency &amp; Bankruptcy Code, 2016. Arbitrability of company disputes assessed under </w:t>
            </w:r>
            <w:r>
              <w:rPr>
                <w:rFonts w:ascii="Calibri" w:hAnsi="Calibri"/>
                <w:b/>
                <w:i w:val="0"/>
                <w:color w:val="1B2A32"/>
                <w:sz w:val="20"/>
              </w:rPr>
              <w:t>Vidya Drolia</w:t>
            </w:r>
            <w:r>
              <w:rPr>
                <w:rFonts w:ascii="Calibri" w:hAnsi="Calibri"/>
                <w:b w:val="0"/>
                <w:i w:val="0"/>
                <w:color w:val="1B2A32"/>
                <w:sz w:val="20"/>
              </w:rPr>
              <w:t xml:space="preserve"> (below); shareholder/JV contractual disputes are generally arbitrable, oppression/mismanagement and insolvency are not.</w:t>
            </w:r>
          </w:p>
        </w:tc>
      </w:tr>
    </w:tbl>
    <w:p>
      <w:pPr>
        <w:spacing w:after="120"/>
      </w:pPr>
    </w:p>
    <w:p>
      <w:pPr>
        <w:keepNext/>
        <w:spacing w:before="320" w:after="140"/>
        <w:pBdr>
          <w:bottom w:val="single" w:sz="12" w:space="3" w:color="C6A15B"/>
        </w:pBdr>
      </w:pPr>
      <w:r>
        <w:rPr>
          <w:rFonts w:ascii="Calibri" w:hAnsi="Calibri"/>
          <w:b/>
          <w:i w:val="0"/>
          <w:color w:val="123B4F"/>
          <w:sz w:val="34"/>
        </w:rPr>
        <w:t>10.  Contract &amp; Transaction Disputes</w:t>
      </w:r>
    </w:p>
    <w:p>
      <w:pPr>
        <w:spacing w:after="140"/>
        <w:jc w:val="both"/>
      </w:pPr>
      <w:r>
        <w:rPr>
          <w:rFonts w:ascii="Calibri" w:hAnsi="Calibri"/>
          <w:b w:val="0"/>
          <w:i w:val="0"/>
          <w:color w:val="1B2A32"/>
          <w:sz w:val="21"/>
        </w:rPr>
        <w:t xml:space="preserve">The largest category by volume: disputes arising out of contracts and commercial transactions. These include breach of contract and damages, price and payment/recovery claims, supply, vendor and procurement disputes, distribution, franchise and agency disputes, construction and infrastructure claims, technology, IT and IP-licensing disputes, real-estate and lease disputes, banking, finance and guarantee disputes, partnership dissolutions, and post-M&amp;A and indemnity claims. Substantively they are governed by the </w:t>
      </w:r>
      <w:r>
        <w:rPr>
          <w:rFonts w:ascii="Calibri" w:hAnsi="Calibri"/>
          <w:b/>
          <w:i w:val="0"/>
          <w:color w:val="1B2A32"/>
          <w:sz w:val="21"/>
        </w:rPr>
        <w:t>Indian Contract Act, 1872</w:t>
      </w:r>
      <w:r>
        <w:rPr>
          <w:rFonts w:ascii="Calibri" w:hAnsi="Calibri"/>
          <w:b w:val="0"/>
          <w:i w:val="0"/>
          <w:color w:val="1B2A32"/>
          <w:sz w:val="21"/>
        </w:rPr>
        <w:t xml:space="preserve">, the </w:t>
      </w:r>
      <w:r>
        <w:rPr>
          <w:rFonts w:ascii="Calibri" w:hAnsi="Calibri"/>
          <w:b/>
          <w:i w:val="0"/>
          <w:color w:val="1B2A32"/>
          <w:sz w:val="21"/>
        </w:rPr>
        <w:t>Sale of Goods Act, 1930</w:t>
      </w:r>
      <w:r>
        <w:rPr>
          <w:rFonts w:ascii="Calibri" w:hAnsi="Calibri"/>
          <w:b w:val="0"/>
          <w:i w:val="0"/>
          <w:color w:val="1B2A32"/>
          <w:sz w:val="21"/>
        </w:rPr>
        <w:t xml:space="preserve">, the </w:t>
      </w:r>
      <w:r>
        <w:rPr>
          <w:rFonts w:ascii="Calibri" w:hAnsi="Calibri"/>
          <w:b/>
          <w:i w:val="0"/>
          <w:color w:val="1B2A32"/>
          <w:sz w:val="21"/>
        </w:rPr>
        <w:t>Specific Relief Act, 1963</w:t>
      </w:r>
      <w:r>
        <w:rPr>
          <w:rFonts w:ascii="Calibri" w:hAnsi="Calibri"/>
          <w:b w:val="0"/>
          <w:i w:val="0"/>
          <w:color w:val="1B2A32"/>
          <w:sz w:val="21"/>
        </w:rPr>
        <w:t xml:space="preserve"> and the relevant sectoral law; procedurally, most are arbitrable and many carry an arbitration clause, while those without one and of specified value must pass through Section 12A mediation before court. Equator's taxonomy exposes each of these as selectable dispute types with the right mechanism attached.</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Indian Contract Act, 1872; Sale of Goods Act, 1930; Specific Relief Act, 1963 (as amended 2018 — specific performance now the norm for contracts); sectoral statutes. Most contract/transaction disputes are arbitrable; enforcement of the resulting award under s.36.</w:t>
            </w:r>
          </w:p>
        </w:tc>
      </w:tr>
    </w:tbl>
    <w:p>
      <w:pPr>
        <w:spacing w:after="120"/>
      </w:pPr>
    </w:p>
    <w:p>
      <w:pPr>
        <w:keepNext/>
        <w:spacing w:before="320" w:after="140"/>
        <w:pBdr>
          <w:bottom w:val="single" w:sz="12" w:space="3" w:color="C6A15B"/>
        </w:pBdr>
      </w:pPr>
      <w:r>
        <w:rPr>
          <w:rFonts w:ascii="Calibri" w:hAnsi="Calibri"/>
          <w:b/>
          <w:i w:val="0"/>
          <w:color w:val="123B4F"/>
          <w:sz w:val="34"/>
        </w:rPr>
        <w:t>11.  Arbitrability — What Can and Cannot Be Arbitrated</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Not every dispute can go to arbitration. The Supreme Court's </w:t>
            </w:r>
            <w:r>
              <w:rPr>
                <w:rFonts w:ascii="Calibri" w:hAnsi="Calibri"/>
                <w:b/>
                <w:i w:val="0"/>
                <w:color w:val="1B2A32"/>
                <w:sz w:val="20"/>
              </w:rPr>
              <w:t>four-fold test</w:t>
            </w:r>
            <w:r>
              <w:rPr>
                <w:rFonts w:ascii="Calibri" w:hAnsi="Calibri"/>
                <w:b w:val="0"/>
                <w:i w:val="0"/>
                <w:color w:val="1B2A32"/>
                <w:sz w:val="20"/>
              </w:rPr>
              <w:t xml:space="preserve"> in Vidya Drolia keeps matters that affect the world at large, or that a statute reserves to a special forum, out of arbitration — for example insolvency, company oppression, and criminal matters.</w:t>
            </w:r>
          </w:p>
        </w:tc>
      </w:tr>
    </w:tbl>
    <w:p>
      <w:pPr>
        <w:spacing w:after="120"/>
      </w:pPr>
    </w:p>
    <w:p>
      <w:pPr>
        <w:spacing w:after="140"/>
        <w:jc w:val="both"/>
      </w:pPr>
      <w:r>
        <w:rPr>
          <w:rFonts w:ascii="Calibri" w:hAnsi="Calibri"/>
          <w:b w:val="0"/>
          <w:i w:val="0"/>
          <w:color w:val="1B2A32"/>
          <w:sz w:val="21"/>
        </w:rPr>
        <w:t xml:space="preserve">Arbitrability is the gateway question for the arbitration track. In </w:t>
      </w:r>
      <w:r>
        <w:rPr>
          <w:rFonts w:ascii="Calibri" w:hAnsi="Calibri"/>
          <w:b/>
          <w:i w:val="0"/>
          <w:color w:val="1B2A32"/>
          <w:sz w:val="21"/>
        </w:rPr>
        <w:t>Vidya Drolia v. Durga Trading Corporation (2021)</w:t>
      </w:r>
      <w:r>
        <w:rPr>
          <w:rFonts w:ascii="Calibri" w:hAnsi="Calibri"/>
          <w:b w:val="0"/>
          <w:i w:val="0"/>
          <w:color w:val="1B2A32"/>
          <w:sz w:val="21"/>
        </w:rPr>
        <w:t xml:space="preserve">, the Supreme Court laid down a </w:t>
      </w:r>
      <w:r>
        <w:rPr>
          <w:rFonts w:ascii="Calibri" w:hAnsi="Calibri"/>
          <w:b/>
          <w:i w:val="0"/>
          <w:color w:val="1B2A32"/>
          <w:sz w:val="21"/>
        </w:rPr>
        <w:t>four-fold test</w:t>
      </w:r>
      <w:r>
        <w:rPr>
          <w:rFonts w:ascii="Calibri" w:hAnsi="Calibri"/>
          <w:b w:val="0"/>
          <w:i w:val="0"/>
          <w:color w:val="1B2A32"/>
          <w:sz w:val="21"/>
        </w:rPr>
        <w:t xml:space="preserve">: a dispute is </w:t>
      </w:r>
      <w:r>
        <w:rPr>
          <w:rFonts w:ascii="Calibri" w:hAnsi="Calibri"/>
          <w:b/>
          <w:i w:val="0"/>
          <w:color w:val="1B2A32"/>
          <w:sz w:val="21"/>
        </w:rPr>
        <w:t>non-arbitrable</w:t>
      </w:r>
      <w:r>
        <w:rPr>
          <w:rFonts w:ascii="Calibri" w:hAnsi="Calibri"/>
          <w:b w:val="0"/>
          <w:i w:val="0"/>
          <w:color w:val="1B2A32"/>
          <w:sz w:val="21"/>
        </w:rPr>
        <w:t xml:space="preserve"> when it (1) concerns </w:t>
      </w:r>
      <w:r>
        <w:rPr>
          <w:rFonts w:ascii="Calibri" w:hAnsi="Calibri"/>
          <w:b/>
          <w:i w:val="0"/>
          <w:color w:val="1B2A32"/>
          <w:sz w:val="21"/>
        </w:rPr>
        <w:t>rights in rem</w:t>
      </w:r>
      <w:r>
        <w:rPr>
          <w:rFonts w:ascii="Calibri" w:hAnsi="Calibri"/>
          <w:b w:val="0"/>
          <w:i w:val="0"/>
          <w:color w:val="1B2A32"/>
          <w:sz w:val="21"/>
        </w:rPr>
        <w:t xml:space="preserve"> (rather than subordinate rights in personam flowing from them), (2) affects </w:t>
      </w:r>
      <w:r>
        <w:rPr>
          <w:rFonts w:ascii="Calibri" w:hAnsi="Calibri"/>
          <w:b/>
          <w:i w:val="0"/>
          <w:color w:val="1B2A32"/>
          <w:sz w:val="21"/>
        </w:rPr>
        <w:t>third-party rights</w:t>
      </w:r>
      <w:r>
        <w:rPr>
          <w:rFonts w:ascii="Calibri" w:hAnsi="Calibri"/>
          <w:b w:val="0"/>
          <w:i w:val="0"/>
          <w:color w:val="1B2A32"/>
          <w:sz w:val="21"/>
        </w:rPr>
        <w:t xml:space="preserve"> or has </w:t>
      </w:r>
      <w:r>
        <w:rPr>
          <w:rFonts w:ascii="Calibri" w:hAnsi="Calibri"/>
          <w:b/>
          <w:i w:val="0"/>
          <w:color w:val="1B2A32"/>
          <w:sz w:val="21"/>
        </w:rPr>
        <w:t>erga omnes</w:t>
      </w:r>
      <w:r>
        <w:rPr>
          <w:rFonts w:ascii="Calibri" w:hAnsi="Calibri"/>
          <w:b w:val="0"/>
          <w:i w:val="0"/>
          <w:color w:val="1B2A32"/>
          <w:sz w:val="21"/>
        </w:rPr>
        <w:t xml:space="preserve"> effect requiring centralised adjudication, (3) relates to </w:t>
      </w:r>
      <w:r>
        <w:rPr>
          <w:rFonts w:ascii="Calibri" w:hAnsi="Calibri"/>
          <w:b/>
          <w:i w:val="0"/>
          <w:color w:val="1B2A32"/>
          <w:sz w:val="21"/>
        </w:rPr>
        <w:t>inalienable sovereign or public-interest</w:t>
      </w:r>
      <w:r>
        <w:rPr>
          <w:rFonts w:ascii="Calibri" w:hAnsi="Calibri"/>
          <w:b w:val="0"/>
          <w:i w:val="0"/>
          <w:color w:val="1B2A32"/>
          <w:sz w:val="21"/>
        </w:rPr>
        <w:t xml:space="preserve"> functions, or (4) is </w:t>
      </w:r>
      <w:r>
        <w:rPr>
          <w:rFonts w:ascii="Calibri" w:hAnsi="Calibri"/>
          <w:b/>
          <w:i w:val="0"/>
          <w:color w:val="1B2A32"/>
          <w:sz w:val="21"/>
        </w:rPr>
        <w:t>expressly or impliedly barred</w:t>
      </w:r>
      <w:r>
        <w:rPr>
          <w:rFonts w:ascii="Calibri" w:hAnsi="Calibri"/>
          <w:b w:val="0"/>
          <w:i w:val="0"/>
          <w:color w:val="1B2A32"/>
          <w:sz w:val="21"/>
        </w:rPr>
        <w:t xml:space="preserve"> from arbitration by a statute. Applying this, disputes such as insolvency and winding-up, company oppression and mismanagement, criminal offences, matrimonial and guardianship matters, testamentary matters, and tenancy governed by special rent-control statutes are </w:t>
      </w:r>
      <w:r>
        <w:rPr>
          <w:rFonts w:ascii="Calibri" w:hAnsi="Calibri"/>
          <w:b/>
          <w:i w:val="0"/>
          <w:color w:val="1B2A32"/>
          <w:sz w:val="21"/>
        </w:rPr>
        <w:t>non-arbitrable</w:t>
      </w:r>
      <w:r>
        <w:rPr>
          <w:rFonts w:ascii="Calibri" w:hAnsi="Calibri"/>
          <w:b w:val="0"/>
          <w:i w:val="0"/>
          <w:color w:val="1B2A32"/>
          <w:sz w:val="21"/>
        </w:rPr>
        <w:t xml:space="preserve">; most contractual and commercial disputes — including, the Court confirmed, ordinary landlord–tenant disputes under the Transfer of Property Act — are </w:t>
      </w:r>
      <w:r>
        <w:rPr>
          <w:rFonts w:ascii="Calibri" w:hAnsi="Calibri"/>
          <w:b/>
          <w:i w:val="0"/>
          <w:color w:val="1B2A32"/>
          <w:sz w:val="21"/>
        </w:rPr>
        <w:t>arbitrable</w:t>
      </w:r>
      <w:r>
        <w:rPr>
          <w:rFonts w:ascii="Calibri" w:hAnsi="Calibri"/>
          <w:b w:val="0"/>
          <w:i w:val="0"/>
          <w:color w:val="1B2A32"/>
          <w:sz w:val="21"/>
        </w:rPr>
        <w:t>. Equator's intake runs this test as a triage so parties are not steered into a forum that cannot hear them.</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i w:val="0"/>
                <w:color w:val="1B2A32"/>
                <w:sz w:val="20"/>
              </w:rPr>
              <w:t>Vidya Drolia v. Durga Trading Corporation, (2021) 2 SCC 1</w:t>
            </w:r>
            <w:r>
              <w:rPr>
                <w:rFonts w:ascii="Calibri" w:hAnsi="Calibri"/>
                <w:b w:val="0"/>
                <w:i w:val="0"/>
                <w:color w:val="1B2A32"/>
                <w:sz w:val="20"/>
              </w:rPr>
              <w:t xml:space="preserve"> (four-fold test for non-arbitrability; prima-facie review at the s.8/s.11 stage). Non-arbitrable illustrations: insolvency (IBC); oppression &amp; mismanagement (Companies Act ss.241–242); criminal; testamentary; certain IPR-grant and statutory-tribunal matters.</w:t>
            </w:r>
          </w:p>
        </w:tc>
      </w:tr>
    </w:tbl>
    <w:p>
      <w:pPr>
        <w:spacing w:after="120"/>
      </w:pPr>
    </w:p>
    <w:p>
      <w:pPr>
        <w:keepNext/>
        <w:spacing w:before="320" w:after="140"/>
        <w:pBdr>
          <w:bottom w:val="single" w:sz="12" w:space="3" w:color="C6A15B"/>
        </w:pBdr>
      </w:pPr>
      <w:r>
        <w:rPr>
          <w:rFonts w:ascii="Calibri" w:hAnsi="Calibri"/>
          <w:b/>
          <w:i w:val="0"/>
          <w:color w:val="123B4F"/>
          <w:sz w:val="34"/>
        </w:rPr>
        <w:t>12.  Interim Measures &amp; Emergency Arbitration</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Sometimes a party needs urgent protection — to freeze an asset, preserve goods or stop a call on a guarantee — before or during arbitration. Courts (Section 9) and tribunals (Section 17) can grant it, and Indian law now recognises </w:t>
            </w:r>
            <w:r>
              <w:rPr>
                <w:rFonts w:ascii="Calibri" w:hAnsi="Calibri"/>
                <w:b/>
                <w:i w:val="0"/>
                <w:color w:val="1B2A32"/>
                <w:sz w:val="20"/>
              </w:rPr>
              <w:t>emergency arbitrator</w:t>
            </w:r>
            <w:r>
              <w:rPr>
                <w:rFonts w:ascii="Calibri" w:hAnsi="Calibri"/>
                <w:b w:val="0"/>
                <w:i w:val="0"/>
                <w:color w:val="1B2A32"/>
                <w:sz w:val="20"/>
              </w:rPr>
              <w:t xml:space="preserve"> awards.</w:t>
            </w:r>
          </w:p>
        </w:tc>
      </w:tr>
    </w:tbl>
    <w:p>
      <w:pPr>
        <w:spacing w:after="120"/>
      </w:pPr>
    </w:p>
    <w:p>
      <w:pPr>
        <w:spacing w:after="140"/>
        <w:jc w:val="both"/>
      </w:pPr>
      <w:r>
        <w:rPr>
          <w:rFonts w:ascii="Calibri" w:hAnsi="Calibri"/>
          <w:b w:val="0"/>
          <w:i w:val="0"/>
          <w:color w:val="1B2A32"/>
          <w:sz w:val="21"/>
        </w:rPr>
        <w:t xml:space="preserve">Urgent relief is available on both sides of the constitution of the tribunal. Before or during arbitration, a party may seek interim measures from the </w:t>
      </w:r>
      <w:r>
        <w:rPr>
          <w:rFonts w:ascii="Calibri" w:hAnsi="Calibri"/>
          <w:b/>
          <w:i w:val="0"/>
          <w:color w:val="1B2A32"/>
          <w:sz w:val="21"/>
        </w:rPr>
        <w:t>court under Section 9</w:t>
      </w:r>
      <w:r>
        <w:rPr>
          <w:rFonts w:ascii="Calibri" w:hAnsi="Calibri"/>
          <w:b w:val="0"/>
          <w:i w:val="0"/>
          <w:color w:val="1B2A32"/>
          <w:sz w:val="21"/>
        </w:rPr>
        <w:t xml:space="preserve"> (asset freezing, preservation of property, security), and once the tribunal is in place it may grant equivalent relief under </w:t>
      </w:r>
      <w:r>
        <w:rPr>
          <w:rFonts w:ascii="Calibri" w:hAnsi="Calibri"/>
          <w:b/>
          <w:i w:val="0"/>
          <w:color w:val="1B2A32"/>
          <w:sz w:val="21"/>
        </w:rPr>
        <w:t>Section 17</w:t>
      </w:r>
      <w:r>
        <w:rPr>
          <w:rFonts w:ascii="Calibri" w:hAnsi="Calibri"/>
          <w:b w:val="0"/>
          <w:i w:val="0"/>
          <w:color w:val="1B2A32"/>
          <w:sz w:val="21"/>
        </w:rPr>
        <w:t xml:space="preserve">, now enforceable as a court order. Institutional rules increasingly provide for an </w:t>
      </w:r>
      <w:r>
        <w:rPr>
          <w:rFonts w:ascii="Calibri" w:hAnsi="Calibri"/>
          <w:b/>
          <w:i w:val="0"/>
          <w:color w:val="1B2A32"/>
          <w:sz w:val="21"/>
        </w:rPr>
        <w:t>emergency arbitrator</w:t>
      </w:r>
      <w:r>
        <w:rPr>
          <w:rFonts w:ascii="Calibri" w:hAnsi="Calibri"/>
          <w:b w:val="0"/>
          <w:i w:val="0"/>
          <w:color w:val="1B2A32"/>
          <w:sz w:val="21"/>
        </w:rPr>
        <w:t xml:space="preserve"> to grant relief before the main tribunal is constituted; the Supreme Court in </w:t>
      </w:r>
      <w:r>
        <w:rPr>
          <w:rFonts w:ascii="Calibri" w:hAnsi="Calibri"/>
          <w:b/>
          <w:i w:val="0"/>
          <w:color w:val="1B2A32"/>
          <w:sz w:val="21"/>
        </w:rPr>
        <w:t>Amazon.com NV Investment Holdings v. Future Retail (2021)</w:t>
      </w:r>
      <w:r>
        <w:rPr>
          <w:rFonts w:ascii="Calibri" w:hAnsi="Calibri"/>
          <w:b w:val="0"/>
          <w:i w:val="0"/>
          <w:color w:val="1B2A32"/>
          <w:sz w:val="21"/>
        </w:rPr>
        <w:t xml:space="preserve"> recognised and enforced an emergency arbitrator's award in an India-seated arbitration, and the draft 2024 Bill proposes an express </w:t>
      </w:r>
      <w:r>
        <w:rPr>
          <w:rFonts w:ascii="Calibri" w:hAnsi="Calibri"/>
          <w:b/>
          <w:i w:val="0"/>
          <w:color w:val="1B2A32"/>
          <w:sz w:val="21"/>
        </w:rPr>
        <w:t>Section 9A</w:t>
      </w:r>
      <w:r>
        <w:rPr>
          <w:rFonts w:ascii="Calibri" w:hAnsi="Calibri"/>
          <w:b w:val="0"/>
          <w:i w:val="0"/>
          <w:color w:val="1B2A32"/>
          <w:sz w:val="21"/>
        </w:rPr>
        <w:t xml:space="preserve"> for emergency arbitration. Equator's Rules will provide an emergency-arbitrator procedure and a fast interim-relief track.</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Arbitration &amp; Conciliation Act: s.9 (court interim measures), s.17 (tribunal interim measures, enforceable). Emergency arbitration: </w:t>
            </w:r>
            <w:r>
              <w:rPr>
                <w:rFonts w:ascii="Calibri" w:hAnsi="Calibri"/>
                <w:b/>
                <w:i w:val="0"/>
                <w:color w:val="1B2A32"/>
                <w:sz w:val="20"/>
              </w:rPr>
              <w:t>Amazon.com NV Investment Holdings LLC v. Future Retail Ltd., (2022) 1 SCC 209</w:t>
            </w:r>
            <w:r>
              <w:rPr>
                <w:rFonts w:ascii="Calibri" w:hAnsi="Calibri"/>
                <w:b w:val="0"/>
                <w:i w:val="0"/>
                <w:color w:val="1B2A32"/>
                <w:sz w:val="20"/>
              </w:rPr>
              <w:t>; proposed s.9A in the draft Amendment Bill, 2024.</w:t>
            </w:r>
          </w:p>
        </w:tc>
      </w:tr>
    </w:tbl>
    <w:p>
      <w:pPr>
        <w:spacing w:after="120"/>
      </w:pPr>
    </w:p>
    <w:p>
      <w:pPr>
        <w:keepNext/>
        <w:spacing w:before="320" w:after="140"/>
        <w:pBdr>
          <w:bottom w:val="single" w:sz="12" w:space="3" w:color="C6A15B"/>
        </w:pBdr>
      </w:pPr>
      <w:r>
        <w:rPr>
          <w:rFonts w:ascii="Calibri" w:hAnsi="Calibri"/>
          <w:b/>
          <w:i w:val="0"/>
          <w:color w:val="123B4F"/>
          <w:sz w:val="34"/>
        </w:rPr>
        <w:t>13.  Enforcement of Outcomes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An outcome only matters if it can be enforced. Domestic awards and mediated settlements are enforceable </w:t>
            </w:r>
            <w:r>
              <w:rPr>
                <w:rFonts w:ascii="Calibri" w:hAnsi="Calibri"/>
                <w:b/>
                <w:i w:val="0"/>
                <w:color w:val="1B2A32"/>
                <w:sz w:val="20"/>
              </w:rPr>
              <w:t>as court decrees</w:t>
            </w:r>
            <w:r>
              <w:rPr>
                <w:rFonts w:ascii="Calibri" w:hAnsi="Calibri"/>
                <w:b w:val="0"/>
                <w:i w:val="0"/>
                <w:color w:val="1B2A32"/>
                <w:sz w:val="20"/>
              </w:rPr>
              <w:t xml:space="preserve">; foreign awards are enforced under the </w:t>
            </w:r>
            <w:r>
              <w:rPr>
                <w:rFonts w:ascii="Calibri" w:hAnsi="Calibri"/>
                <w:b/>
                <w:i w:val="0"/>
                <w:color w:val="1B2A32"/>
                <w:sz w:val="20"/>
              </w:rPr>
              <w:t>New York Convention</w:t>
            </w:r>
            <w:r>
              <w:rPr>
                <w:rFonts w:ascii="Calibri" w:hAnsi="Calibri"/>
                <w:b w:val="0"/>
                <w:i w:val="0"/>
                <w:color w:val="1B2A32"/>
                <w:sz w:val="20"/>
              </w:rPr>
              <w:t xml:space="preserve">; and cross-border mediated settlements will benefit from the </w:t>
            </w:r>
            <w:r>
              <w:rPr>
                <w:rFonts w:ascii="Calibri" w:hAnsi="Calibri"/>
                <w:b/>
                <w:i w:val="0"/>
                <w:color w:val="1B2A32"/>
                <w:sz w:val="20"/>
              </w:rPr>
              <w:t>Singapore Convention</w:t>
            </w:r>
            <w:r>
              <w:rPr>
                <w:rFonts w:ascii="Calibri" w:hAnsi="Calibri"/>
                <w:b w:val="0"/>
                <w:i w:val="0"/>
                <w:color w:val="1B2A32"/>
                <w:sz w:val="20"/>
              </w:rPr>
              <w:t xml:space="preserve"> once India ratifies it.</w:t>
            </w:r>
          </w:p>
        </w:tc>
      </w:tr>
    </w:tbl>
    <w:p>
      <w:pPr>
        <w:spacing w:after="120"/>
      </w:pPr>
    </w:p>
    <w:p>
      <w:pPr>
        <w:spacing w:after="140"/>
        <w:jc w:val="both"/>
      </w:pPr>
      <w:r>
        <w:rPr>
          <w:rFonts w:ascii="Calibri" w:hAnsi="Calibri"/>
          <w:b w:val="0"/>
          <w:i w:val="0"/>
          <w:color w:val="1B2A32"/>
          <w:sz w:val="21"/>
        </w:rPr>
        <w:t xml:space="preserve">Equator's value rests on enforceable outcomes. A </w:t>
      </w:r>
      <w:r>
        <w:rPr>
          <w:rFonts w:ascii="Calibri" w:hAnsi="Calibri"/>
          <w:b/>
          <w:i w:val="0"/>
          <w:color w:val="1B2A32"/>
          <w:sz w:val="21"/>
        </w:rPr>
        <w:t>domestic award</w:t>
      </w:r>
      <w:r>
        <w:rPr>
          <w:rFonts w:ascii="Calibri" w:hAnsi="Calibri"/>
          <w:b w:val="0"/>
          <w:i w:val="0"/>
          <w:color w:val="1B2A32"/>
          <w:sz w:val="21"/>
        </w:rPr>
        <w:t xml:space="preserve"> becomes enforceable </w:t>
      </w:r>
      <w:r>
        <w:rPr>
          <w:rFonts w:ascii="Calibri" w:hAnsi="Calibri"/>
          <w:b/>
          <w:i w:val="0"/>
          <w:color w:val="1B2A32"/>
          <w:sz w:val="21"/>
        </w:rPr>
        <w:t>as a decree</w:t>
      </w:r>
      <w:r>
        <w:rPr>
          <w:rFonts w:ascii="Calibri" w:hAnsi="Calibri"/>
          <w:b w:val="0"/>
          <w:i w:val="0"/>
          <w:color w:val="1B2A32"/>
          <w:sz w:val="21"/>
        </w:rPr>
        <w:t xml:space="preserve"> under Section 36 once the Section 34 challenge window has passed (or a challenge has failed), and a challenge no longer automatically stays enforcement. A </w:t>
      </w:r>
      <w:r>
        <w:rPr>
          <w:rFonts w:ascii="Calibri" w:hAnsi="Calibri"/>
          <w:b/>
          <w:i w:val="0"/>
          <w:color w:val="1B2A32"/>
          <w:sz w:val="21"/>
        </w:rPr>
        <w:t>mediated settlement agreement</w:t>
      </w:r>
      <w:r>
        <w:rPr>
          <w:rFonts w:ascii="Calibri" w:hAnsi="Calibri"/>
          <w:b w:val="0"/>
          <w:i w:val="0"/>
          <w:color w:val="1B2A32"/>
          <w:sz w:val="21"/>
        </w:rPr>
        <w:t xml:space="preserve"> is enforceable as a decree under Section 27 of the Mediation Act. A </w:t>
      </w:r>
      <w:r>
        <w:rPr>
          <w:rFonts w:ascii="Calibri" w:hAnsi="Calibri"/>
          <w:b/>
          <w:i w:val="0"/>
          <w:color w:val="1B2A32"/>
          <w:sz w:val="21"/>
        </w:rPr>
        <w:t>foreign award</w:t>
      </w:r>
      <w:r>
        <w:rPr>
          <w:rFonts w:ascii="Calibri" w:hAnsi="Calibri"/>
          <w:b w:val="0"/>
          <w:i w:val="0"/>
          <w:color w:val="1B2A32"/>
          <w:sz w:val="21"/>
        </w:rPr>
        <w:t xml:space="preserve"> is enforced under </w:t>
      </w:r>
      <w:r>
        <w:rPr>
          <w:rFonts w:ascii="Calibri" w:hAnsi="Calibri"/>
          <w:b/>
          <w:i w:val="0"/>
          <w:color w:val="1B2A32"/>
          <w:sz w:val="21"/>
        </w:rPr>
        <w:t>Part II</w:t>
      </w:r>
      <w:r>
        <w:rPr>
          <w:rFonts w:ascii="Calibri" w:hAnsi="Calibri"/>
          <w:b w:val="0"/>
          <w:i w:val="0"/>
          <w:color w:val="1B2A32"/>
          <w:sz w:val="21"/>
        </w:rPr>
        <w:t xml:space="preserve"> of the Arbitration Act, giving effect to the </w:t>
      </w:r>
      <w:r>
        <w:rPr>
          <w:rFonts w:ascii="Calibri" w:hAnsi="Calibri"/>
          <w:b/>
          <w:i w:val="0"/>
          <w:color w:val="1B2A32"/>
          <w:sz w:val="21"/>
        </w:rPr>
        <w:t>New York Convention (1958)</w:t>
      </w:r>
      <w:r>
        <w:rPr>
          <w:rFonts w:ascii="Calibri" w:hAnsi="Calibri"/>
          <w:b w:val="0"/>
          <w:i w:val="0"/>
          <w:color w:val="1B2A32"/>
          <w:sz w:val="21"/>
        </w:rPr>
        <w:t xml:space="preserve">, subject to the limited refusal grounds in Section 48. For </w:t>
      </w:r>
      <w:r>
        <w:rPr>
          <w:rFonts w:ascii="Calibri" w:hAnsi="Calibri"/>
          <w:b/>
          <w:i w:val="0"/>
          <w:color w:val="1B2A32"/>
          <w:sz w:val="21"/>
        </w:rPr>
        <w:t>cross-border mediated settlements</w:t>
      </w:r>
      <w:r>
        <w:rPr>
          <w:rFonts w:ascii="Calibri" w:hAnsi="Calibri"/>
          <w:b w:val="0"/>
          <w:i w:val="0"/>
          <w:color w:val="1B2A32"/>
          <w:sz w:val="21"/>
        </w:rPr>
        <w:t xml:space="preserve">, the </w:t>
      </w:r>
      <w:r>
        <w:rPr>
          <w:rFonts w:ascii="Calibri" w:hAnsi="Calibri"/>
          <w:b/>
          <w:i w:val="0"/>
          <w:color w:val="1B2A32"/>
          <w:sz w:val="21"/>
        </w:rPr>
        <w:t>Singapore Convention on Mediation (2019)</w:t>
      </w:r>
      <w:r>
        <w:rPr>
          <w:rFonts w:ascii="Calibri" w:hAnsi="Calibri"/>
          <w:b w:val="0"/>
          <w:i w:val="0"/>
          <w:color w:val="1B2A32"/>
          <w:sz w:val="21"/>
        </w:rPr>
        <w:t xml:space="preserve"> provides a New-York-Convention-style enforcement framework; </w:t>
      </w:r>
      <w:r>
        <w:rPr>
          <w:rFonts w:ascii="Calibri" w:hAnsi="Calibri"/>
          <w:b/>
          <w:i w:val="0"/>
          <w:color w:val="1B2A32"/>
          <w:sz w:val="21"/>
        </w:rPr>
        <w:t>India has signed but not yet ratified</w:t>
      </w:r>
      <w:r>
        <w:rPr>
          <w:rFonts w:ascii="Calibri" w:hAnsi="Calibri"/>
          <w:b w:val="0"/>
          <w:i w:val="0"/>
          <w:color w:val="1B2A32"/>
          <w:sz w:val="21"/>
        </w:rPr>
        <w:t xml:space="preserve"> it, so Equator flags this as a watch item for international matters. The platform's escrow and e-execution features make voluntary compliance the norm and enforcement the exception.</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Domestic award: s.36 (enforcement as a decree). Foreign award: Part II, ss.44–52 (New York Convention); refusal grounds s.48. Mediated settlement: Mediation Act s.27. Cross-border mediation: </w:t>
            </w:r>
            <w:r>
              <w:rPr>
                <w:rFonts w:ascii="Calibri" w:hAnsi="Calibri"/>
                <w:b/>
                <w:i w:val="0"/>
                <w:color w:val="1B2A32"/>
                <w:sz w:val="20"/>
              </w:rPr>
              <w:t>Singapore Convention on Mediation, 2019 — signed by India (7 Aug 2019), not yet ratified as of 2026</w:t>
            </w:r>
            <w:r>
              <w:rPr>
                <w:rFonts w:ascii="Calibri" w:hAnsi="Calibri"/>
                <w:b w:val="0"/>
                <w:i w:val="0"/>
                <w:color w:val="1B2A32"/>
                <w:sz w:val="20"/>
              </w:rPr>
              <w:t>.</w:t>
            </w:r>
          </w:p>
        </w:tc>
      </w:tr>
    </w:tbl>
    <w:p>
      <w:pPr>
        <w:spacing w:after="120"/>
      </w:pPr>
    </w:p>
    <w:p>
      <w:pPr>
        <w:spacing w:before="80" w:after="40"/>
        <w:jc w:val="center"/>
      </w:pPr>
      <w:r>
        <w:drawing>
          <wp:inline xmlns:a="http://schemas.openxmlformats.org/drawingml/2006/main" xmlns:pic="http://schemas.openxmlformats.org/drawingml/2006/picture">
            <wp:extent cx="5852160" cy="3165112"/>
            <wp:docPr id="5" name="Picture 5"/>
            <wp:cNvGraphicFramePr>
              <a:graphicFrameLocks noChangeAspect="1"/>
            </wp:cNvGraphicFramePr>
            <a:graphic>
              <a:graphicData uri="http://schemas.openxmlformats.org/drawingml/2006/picture">
                <pic:pic>
                  <pic:nvPicPr>
                    <pic:cNvPr id="0" name="cm06_enforcement.png"/>
                    <pic:cNvPicPr/>
                  </pic:nvPicPr>
                  <pic:blipFill>
                    <a:blip r:embed="rId13"/>
                    <a:stretch>
                      <a:fillRect/>
                    </a:stretch>
                  </pic:blipFill>
                  <pic:spPr>
                    <a:xfrm>
                      <a:off x="0" y="0"/>
                      <a:ext cx="5852160" cy="3165112"/>
                    </a:xfrm>
                    <a:prstGeom prst="rect"/>
                  </pic:spPr>
                </pic:pic>
              </a:graphicData>
            </a:graphic>
          </wp:inline>
        </w:drawing>
      </w:r>
    </w:p>
    <w:p>
      <w:pPr>
        <w:spacing w:before="20" w:after="200"/>
        <w:jc w:val="center"/>
      </w:pPr>
      <w:r>
        <w:rPr>
          <w:rFonts w:ascii="Calibri" w:hAnsi="Calibri"/>
          <w:b w:val="0"/>
          <w:i/>
          <w:color w:val="556168"/>
          <w:sz w:val="17"/>
        </w:rPr>
        <w:t>Figure 5 — Enforcement pathways for awards and settlements, domestic and cross-border.</w:t>
      </w:r>
    </w:p>
    <w:p>
      <w:r>
        <w:br w:type="page"/>
      </w:r>
    </w:p>
    <w:p>
      <w:pPr>
        <w:spacing w:before="600" w:after="40"/>
      </w:pPr>
      <w:r>
        <w:rPr>
          <w:rFonts w:ascii="Calibri" w:hAnsi="Calibri"/>
          <w:b/>
          <w:i w:val="0"/>
          <w:color w:val="C6A15B"/>
          <w:sz w:val="26"/>
        </w:rPr>
        <w:t>PART C</w:t>
      </w:r>
    </w:p>
    <w:p>
      <w:pPr>
        <w:spacing w:after="200"/>
        <w:pBdr>
          <w:bottom w:val="single" w:sz="18" w:space="3" w:color="1E7A8C"/>
        </w:pBdr>
      </w:pPr>
      <w:r>
        <w:rPr>
          <w:rFonts w:ascii="Calibri" w:hAnsi="Calibri"/>
          <w:b/>
          <w:i w:val="0"/>
          <w:color w:val="123B4F"/>
          <w:sz w:val="46"/>
        </w:rPr>
        <w:t>The Platform &amp; Procedure</w:t>
      </w:r>
    </w:p>
    <w:p>
      <w:pPr>
        <w:keepNext/>
        <w:spacing w:before="320" w:after="140"/>
        <w:pBdr>
          <w:bottom w:val="single" w:sz="12" w:space="3" w:color="C6A15B"/>
        </w:pBdr>
      </w:pPr>
      <w:r>
        <w:rPr>
          <w:rFonts w:ascii="Calibri" w:hAnsi="Calibri"/>
          <w:b/>
          <w:i w:val="0"/>
          <w:color w:val="123B4F"/>
          <w:sz w:val="34"/>
        </w:rPr>
        <w:t>14.  Dispute Taxonomy &amp; Dropdown Architecture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menu the website shows a business: </w:t>
            </w:r>
            <w:r>
              <w:rPr>
                <w:rFonts w:ascii="Calibri" w:hAnsi="Calibri"/>
                <w:b/>
                <w:i w:val="0"/>
                <w:color w:val="1B2A32"/>
                <w:sz w:val="20"/>
              </w:rPr>
              <w:t>Dispute type → sub-issue → mechanism → sector</w:t>
            </w:r>
            <w:r>
              <w:rPr>
                <w:rFonts w:ascii="Calibri" w:hAnsi="Calibri"/>
                <w:b w:val="0"/>
                <w:i w:val="0"/>
                <w:color w:val="1B2A32"/>
                <w:sz w:val="20"/>
              </w:rPr>
              <w:t>, plus claim value, governing law, seat and language. Selecting them attaches the right law, mechanism, forms and neutral filters. The machine-readable version is in the Developer Workbook.</w:t>
            </w:r>
          </w:p>
        </w:tc>
      </w:tr>
    </w:tbl>
    <w:p>
      <w:pPr>
        <w:spacing w:after="120"/>
      </w:pPr>
    </w:p>
    <w:p>
      <w:pPr>
        <w:spacing w:after="140"/>
        <w:jc w:val="both"/>
      </w:pPr>
      <w:r>
        <w:rPr>
          <w:rFonts w:ascii="Calibri" w:hAnsi="Calibri"/>
          <w:b w:val="0"/>
          <w:i w:val="0"/>
          <w:color w:val="1B2A32"/>
          <w:sz w:val="21"/>
        </w:rPr>
        <w:t xml:space="preserve">A user identifies the </w:t>
      </w:r>
      <w:r>
        <w:rPr>
          <w:rFonts w:ascii="Calibri" w:hAnsi="Calibri"/>
          <w:b/>
          <w:i w:val="0"/>
          <w:color w:val="1B2A32"/>
          <w:sz w:val="21"/>
        </w:rPr>
        <w:t>dispute type</w:t>
      </w:r>
      <w:r>
        <w:rPr>
          <w:rFonts w:ascii="Calibri" w:hAnsi="Calibri"/>
          <w:b w:val="0"/>
          <w:i w:val="0"/>
          <w:color w:val="1B2A32"/>
          <w:sz w:val="21"/>
        </w:rPr>
        <w:t xml:space="preserve">, one or more </w:t>
      </w:r>
      <w:r>
        <w:rPr>
          <w:rFonts w:ascii="Calibri" w:hAnsi="Calibri"/>
          <w:b/>
          <w:i w:val="0"/>
          <w:color w:val="1B2A32"/>
          <w:sz w:val="21"/>
        </w:rPr>
        <w:t>specific issues</w:t>
      </w:r>
      <w:r>
        <w:rPr>
          <w:rFonts w:ascii="Calibri" w:hAnsi="Calibri"/>
          <w:b w:val="0"/>
          <w:i w:val="0"/>
          <w:color w:val="1B2A32"/>
          <w:sz w:val="21"/>
        </w:rPr>
        <w:t xml:space="preserve">, the </w:t>
      </w:r>
      <w:r>
        <w:rPr>
          <w:rFonts w:ascii="Calibri" w:hAnsi="Calibri"/>
          <w:b/>
          <w:i w:val="0"/>
          <w:color w:val="1B2A32"/>
          <w:sz w:val="21"/>
        </w:rPr>
        <w:t>sector</w:t>
      </w:r>
      <w:r>
        <w:rPr>
          <w:rFonts w:ascii="Calibri" w:hAnsi="Calibri"/>
          <w:b w:val="0"/>
          <w:i w:val="0"/>
          <w:color w:val="1B2A32"/>
          <w:sz w:val="21"/>
        </w:rPr>
        <w:t xml:space="preserve">, the </w:t>
      </w:r>
      <w:r>
        <w:rPr>
          <w:rFonts w:ascii="Calibri" w:hAnsi="Calibri"/>
          <w:b/>
          <w:i w:val="0"/>
          <w:color w:val="1B2A32"/>
          <w:sz w:val="21"/>
        </w:rPr>
        <w:t>claim value band</w:t>
      </w:r>
      <w:r>
        <w:rPr>
          <w:rFonts w:ascii="Calibri" w:hAnsi="Calibri"/>
          <w:b w:val="0"/>
          <w:i w:val="0"/>
          <w:color w:val="1B2A32"/>
          <w:sz w:val="21"/>
        </w:rPr>
        <w:t xml:space="preserve">, whether an </w:t>
      </w:r>
      <w:r>
        <w:rPr>
          <w:rFonts w:ascii="Calibri" w:hAnsi="Calibri"/>
          <w:b/>
          <w:i w:val="0"/>
          <w:color w:val="1B2A32"/>
          <w:sz w:val="21"/>
        </w:rPr>
        <w:t>arbitration agreement</w:t>
      </w:r>
      <w:r>
        <w:rPr>
          <w:rFonts w:ascii="Calibri" w:hAnsi="Calibri"/>
          <w:b w:val="0"/>
          <w:i w:val="0"/>
          <w:color w:val="1B2A32"/>
          <w:sz w:val="21"/>
        </w:rPr>
        <w:t xml:space="preserve"> exists, and preferences for </w:t>
      </w:r>
      <w:r>
        <w:rPr>
          <w:rFonts w:ascii="Calibri" w:hAnsi="Calibri"/>
          <w:b/>
          <w:i w:val="0"/>
          <w:color w:val="1B2A32"/>
          <w:sz w:val="21"/>
        </w:rPr>
        <w:t>seat, governing law and language</w:t>
      </w:r>
      <w:r>
        <w:rPr>
          <w:rFonts w:ascii="Calibri" w:hAnsi="Calibri"/>
          <w:b w:val="0"/>
          <w:i w:val="0"/>
          <w:color w:val="1B2A32"/>
          <w:sz w:val="21"/>
        </w:rPr>
        <w:t>. The platform uses these to select the mechanism (arbitration / mediation / s.12A / MSME), attach the applicable-law checklist and forms, run the arbitrability triage, and filter the neutral panel by sector expertise.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6"/>
              </w:rPr>
              <w:t>Dispute type</w:t>
            </w:r>
          </w:p>
        </w:tc>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6"/>
              </w:rPr>
              <w:t>Representative issues</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6"/>
              </w:rPr>
              <w:t>Usual mechanism</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Breach of contract / damages</w:t>
            </w:r>
          </w:p>
        </w:tc>
        <w:tc>
          <w:tcPr>
            <w:tcW w:type="dxa" w:w="4752"/>
            <w:tcMar>
              <w:top w:w="60" w:type="dxa"/>
              <w:bottom w:w="60" w:type="dxa"/>
              <w:start w:w="110" w:type="dxa"/>
              <w:end w:w="110" w:type="dxa"/>
            </w:tcMar>
          </w:tcPr>
          <w:p>
            <w:pPr>
              <w:spacing w:after="0"/>
              <w:jc w:val="left"/>
            </w:pPr>
            <w:r>
              <w:rPr>
                <w:rFonts w:ascii="Calibri" w:hAnsi="Calibri"/>
                <w:b w:val="0"/>
                <w:i w:val="0"/>
                <w:color w:val="1B2A32"/>
                <w:sz w:val="16"/>
              </w:rPr>
              <w:t>Non-performance, defective performance, repudiation, damages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Arbitration (if clause) / s.12A mediation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Payment &amp; recovery</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Unpaid invoices, price disputes, retention</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 MSME (if MSE) / s.12A</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Supply, vendor &amp; procurement</w:t>
            </w:r>
          </w:p>
        </w:tc>
        <w:tc>
          <w:tcPr>
            <w:tcW w:type="dxa" w:w="4752"/>
            <w:tcMar>
              <w:top w:w="60" w:type="dxa"/>
              <w:bottom w:w="60" w:type="dxa"/>
              <w:start w:w="110" w:type="dxa"/>
              <w:end w:w="110" w:type="dxa"/>
            </w:tcMar>
          </w:tcPr>
          <w:p>
            <w:pPr>
              <w:spacing w:after="0"/>
              <w:jc w:val="left"/>
            </w:pPr>
            <w:r>
              <w:rPr>
                <w:rFonts w:ascii="Calibri" w:hAnsi="Calibri"/>
                <w:b w:val="0"/>
                <w:i w:val="0"/>
                <w:color w:val="1B2A32"/>
                <w:sz w:val="16"/>
              </w:rPr>
              <w:t>Delivery, quality, warranty, termination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Arbitration / mediation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Distribution, franchise &amp; agency</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Territory, termination, commissions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 mediation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Shareholder / JV / partnership</w:t>
            </w:r>
          </w:p>
        </w:tc>
        <w:tc>
          <w:tcPr>
            <w:tcW w:type="dxa" w:w="4752"/>
            <w:tcMar>
              <w:top w:w="60" w:type="dxa"/>
              <w:bottom w:w="60" w:type="dxa"/>
              <w:start w:w="110" w:type="dxa"/>
              <w:end w:w="110" w:type="dxa"/>
            </w:tcMar>
          </w:tcPr>
          <w:p>
            <w:pPr>
              <w:spacing w:after="0"/>
              <w:jc w:val="left"/>
            </w:pPr>
            <w:r>
              <w:rPr>
                <w:rFonts w:ascii="Calibri" w:hAnsi="Calibri"/>
                <w:b w:val="0"/>
                <w:i w:val="0"/>
                <w:color w:val="1B2A32"/>
                <w:sz w:val="16"/>
              </w:rPr>
              <w:t>SHA/JV breaches, transfers, exit, valuation, dissolution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Arbitration (contractual) / mediation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Company oppression &amp; mismanagement</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Minority rights, board control</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NCLT (non-arbitrable); mediate commercial layer</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Construction &amp; infrastructure</w:t>
            </w:r>
          </w:p>
        </w:tc>
        <w:tc>
          <w:tcPr>
            <w:tcW w:type="dxa" w:w="4752"/>
            <w:tcMar>
              <w:top w:w="60" w:type="dxa"/>
              <w:bottom w:w="60" w:type="dxa"/>
              <w:start w:w="110" w:type="dxa"/>
              <w:end w:w="110" w:type="dxa"/>
            </w:tcMar>
          </w:tcPr>
          <w:p>
            <w:pPr>
              <w:spacing w:after="0"/>
              <w:jc w:val="left"/>
            </w:pPr>
            <w:r>
              <w:rPr>
                <w:rFonts w:ascii="Calibri" w:hAnsi="Calibri"/>
                <w:b w:val="0"/>
                <w:i w:val="0"/>
                <w:color w:val="1B2A32"/>
                <w:sz w:val="16"/>
              </w:rPr>
              <w:t>Delay, variations, certification, EPC claims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Arbitration / dispute board</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Technology, IT &amp; IP</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SaaS/licensing, SLAs, IP use (not grant)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 mediation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Real estate &amp; lease</w:t>
            </w:r>
          </w:p>
        </w:tc>
        <w:tc>
          <w:tcPr>
            <w:tcW w:type="dxa" w:w="4752"/>
            <w:tcMar>
              <w:top w:w="60" w:type="dxa"/>
              <w:bottom w:w="60" w:type="dxa"/>
              <w:start w:w="110" w:type="dxa"/>
              <w:end w:w="110" w:type="dxa"/>
            </w:tcMar>
          </w:tcPr>
          <w:p>
            <w:pPr>
              <w:spacing w:after="0"/>
              <w:jc w:val="left"/>
            </w:pPr>
            <w:r>
              <w:rPr>
                <w:rFonts w:ascii="Calibri" w:hAnsi="Calibri"/>
                <w:b w:val="0"/>
                <w:i w:val="0"/>
                <w:color w:val="1B2A32"/>
                <w:sz w:val="16"/>
              </w:rPr>
              <w:t>Sale, lease, development, RERA interface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Arbitration / mediation / court</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Banking, finance &amp; guarantee</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Facility, guarantee, recovery, LC disputes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Arbitration / DRT interface</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6"/>
              </w:rPr>
              <w:t>MSME delayed payment</w:t>
            </w:r>
          </w:p>
        </w:tc>
        <w:tc>
          <w:tcPr>
            <w:tcW w:type="dxa" w:w="4752"/>
            <w:tcMar>
              <w:top w:w="60" w:type="dxa"/>
              <w:bottom w:w="60" w:type="dxa"/>
              <w:start w:w="110" w:type="dxa"/>
              <w:end w:w="110" w:type="dxa"/>
            </w:tcMar>
          </w:tcPr>
          <w:p>
            <w:pPr>
              <w:spacing w:after="0"/>
              <w:jc w:val="left"/>
            </w:pPr>
            <w:r>
              <w:rPr>
                <w:rFonts w:ascii="Calibri" w:hAnsi="Calibri"/>
                <w:b w:val="0"/>
                <w:i w:val="0"/>
                <w:color w:val="1B2A32"/>
                <w:sz w:val="16"/>
              </w:rPr>
              <w:t>Overdue payment to a micro/small supplier</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MSME Samadhaan (s.18)</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Cross-border / international</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Foreign party, foreign seat, enforcement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Institutional arbitration / mediation</w:t>
            </w:r>
          </w:p>
        </w:tc>
      </w:tr>
    </w:tbl>
    <w:p>
      <w:pPr>
        <w:spacing w:after="80"/>
      </w:pPr>
    </w:p>
    <w:p>
      <w:pPr>
        <w:spacing w:before="20" w:after="200"/>
        <w:jc w:val="center"/>
      </w:pPr>
      <w:r>
        <w:rPr>
          <w:rFonts w:ascii="Calibri" w:hAnsi="Calibri"/>
          <w:b w:val="0"/>
          <w:i/>
          <w:color w:val="556168"/>
          <w:sz w:val="17"/>
        </w:rPr>
        <w:t>Table 2 — Commercial dispute-type → issues → mechanism map (full schema in the Developer Workbook).</w:t>
      </w:r>
    </w:p>
    <w:p>
      <w:pPr>
        <w:keepNext/>
        <w:spacing w:before="220" w:after="80"/>
      </w:pPr>
      <w:r>
        <w:rPr>
          <w:rFonts w:ascii="Calibri" w:hAnsi="Calibri"/>
          <w:b/>
          <w:i w:val="0"/>
          <w:color w:val="1E7A8C"/>
          <w:sz w:val="26"/>
        </w:rPr>
        <w:t>14.1   Key dropdowns &amp; options</w:t>
      </w:r>
    </w:p>
    <w:p>
      <w:pPr>
        <w:spacing w:after="140"/>
        <w:jc w:val="both"/>
      </w:pPr>
      <w:r>
        <w:rPr>
          <w:rFonts w:ascii="Calibri" w:hAnsi="Calibri"/>
          <w:b w:val="0"/>
          <w:i w:val="0"/>
          <w:color w:val="1B2A32"/>
          <w:sz w:val="21"/>
        </w:rPr>
        <w:t xml:space="preserve">Beyond dispute type, the intake exposes: </w:t>
      </w:r>
      <w:r>
        <w:rPr>
          <w:rFonts w:ascii="Calibri" w:hAnsi="Calibri"/>
          <w:b/>
          <w:i w:val="0"/>
          <w:color w:val="1B2A32"/>
          <w:sz w:val="21"/>
        </w:rPr>
        <w:t>mechanism</w:t>
      </w:r>
      <w:r>
        <w:rPr>
          <w:rFonts w:ascii="Calibri" w:hAnsi="Calibri"/>
          <w:b w:val="0"/>
          <w:i w:val="0"/>
          <w:color w:val="1B2A32"/>
          <w:sz w:val="21"/>
        </w:rPr>
        <w:t xml:space="preserve"> (arbitration / mediation / s.12A pre-institution / MSME Samadhaan / expert determination); </w:t>
      </w:r>
      <w:r>
        <w:rPr>
          <w:rFonts w:ascii="Calibri" w:hAnsi="Calibri"/>
          <w:b/>
          <w:i w:val="0"/>
          <w:color w:val="1B2A32"/>
          <w:sz w:val="21"/>
        </w:rPr>
        <w:t>sector</w:t>
      </w:r>
      <w:r>
        <w:rPr>
          <w:rFonts w:ascii="Calibri" w:hAnsi="Calibri"/>
          <w:b w:val="0"/>
          <w:i w:val="0"/>
          <w:color w:val="1B2A32"/>
          <w:sz w:val="21"/>
        </w:rPr>
        <w:t xml:space="preserve"> (manufacturing, IT/tech, construction/infra, BFSI, real estate, pharma, retail/FMCG, energy, logistics, services, etc.); </w:t>
      </w:r>
      <w:r>
        <w:rPr>
          <w:rFonts w:ascii="Calibri" w:hAnsi="Calibri"/>
          <w:b/>
          <w:i w:val="0"/>
          <w:color w:val="1B2A32"/>
          <w:sz w:val="21"/>
        </w:rPr>
        <w:t>claim-value band</w:t>
      </w:r>
      <w:r>
        <w:rPr>
          <w:rFonts w:ascii="Calibri" w:hAnsi="Calibri"/>
          <w:b w:val="0"/>
          <w:i w:val="0"/>
          <w:color w:val="1B2A32"/>
          <w:sz w:val="21"/>
        </w:rPr>
        <w:t xml:space="preserve"> (drives the fee tier and whether a sole or three-member tribunal is apt); </w:t>
      </w:r>
      <w:r>
        <w:rPr>
          <w:rFonts w:ascii="Calibri" w:hAnsi="Calibri"/>
          <w:b/>
          <w:i w:val="0"/>
          <w:color w:val="1B2A32"/>
          <w:sz w:val="21"/>
        </w:rPr>
        <w:t>number of arbitrators</w:t>
      </w:r>
      <w:r>
        <w:rPr>
          <w:rFonts w:ascii="Calibri" w:hAnsi="Calibri"/>
          <w:b w:val="0"/>
          <w:i w:val="0"/>
          <w:color w:val="1B2A32"/>
          <w:sz w:val="21"/>
        </w:rPr>
        <w:t xml:space="preserve"> (sole / three); </w:t>
      </w:r>
      <w:r>
        <w:rPr>
          <w:rFonts w:ascii="Calibri" w:hAnsi="Calibri"/>
          <w:b/>
          <w:i w:val="0"/>
          <w:color w:val="1B2A32"/>
          <w:sz w:val="21"/>
        </w:rPr>
        <w:t>seat and venue</w:t>
      </w:r>
      <w:r>
        <w:rPr>
          <w:rFonts w:ascii="Calibri" w:hAnsi="Calibri"/>
          <w:b w:val="0"/>
          <w:i w:val="0"/>
          <w:color w:val="1B2A32"/>
          <w:sz w:val="21"/>
        </w:rPr>
        <w:t xml:space="preserve">; </w:t>
      </w:r>
      <w:r>
        <w:rPr>
          <w:rFonts w:ascii="Calibri" w:hAnsi="Calibri"/>
          <w:b/>
          <w:i w:val="0"/>
          <w:color w:val="1B2A32"/>
          <w:sz w:val="21"/>
        </w:rPr>
        <w:t>governing law</w:t>
      </w:r>
      <w:r>
        <w:rPr>
          <w:rFonts w:ascii="Calibri" w:hAnsi="Calibri"/>
          <w:b w:val="0"/>
          <w:i w:val="0"/>
          <w:color w:val="1B2A32"/>
          <w:sz w:val="21"/>
        </w:rPr>
        <w:t xml:space="preserve">; </w:t>
      </w:r>
      <w:r>
        <w:rPr>
          <w:rFonts w:ascii="Calibri" w:hAnsi="Calibri"/>
          <w:b/>
          <w:i w:val="0"/>
          <w:color w:val="1B2A32"/>
          <w:sz w:val="21"/>
        </w:rPr>
        <w:t>language</w:t>
      </w:r>
      <w:r>
        <w:rPr>
          <w:rFonts w:ascii="Calibri" w:hAnsi="Calibri"/>
          <w:b w:val="0"/>
          <w:i w:val="0"/>
          <w:color w:val="1B2A32"/>
          <w:sz w:val="21"/>
        </w:rPr>
        <w:t xml:space="preserve">; </w:t>
      </w:r>
      <w:r>
        <w:rPr>
          <w:rFonts w:ascii="Calibri" w:hAnsi="Calibri"/>
          <w:b/>
          <w:i w:val="0"/>
          <w:color w:val="1B2A32"/>
          <w:sz w:val="21"/>
        </w:rPr>
        <w:t>institutional rules</w:t>
      </w:r>
      <w:r>
        <w:rPr>
          <w:rFonts w:ascii="Calibri" w:hAnsi="Calibri"/>
          <w:b w:val="0"/>
          <w:i w:val="0"/>
          <w:color w:val="1B2A32"/>
          <w:sz w:val="21"/>
        </w:rPr>
        <w:t xml:space="preserve"> (Equator Rules by default); </w:t>
      </w:r>
      <w:r>
        <w:rPr>
          <w:rFonts w:ascii="Calibri" w:hAnsi="Calibri"/>
          <w:b/>
          <w:i w:val="0"/>
          <w:color w:val="1B2A32"/>
          <w:sz w:val="21"/>
        </w:rPr>
        <w:t>urgency</w:t>
      </w:r>
      <w:r>
        <w:rPr>
          <w:rFonts w:ascii="Calibri" w:hAnsi="Calibri"/>
          <w:b w:val="0"/>
          <w:i w:val="0"/>
          <w:color w:val="1B2A32"/>
          <w:sz w:val="21"/>
        </w:rPr>
        <w:t xml:space="preserve"> (emergency/interim relief needed); and </w:t>
      </w:r>
      <w:r>
        <w:rPr>
          <w:rFonts w:ascii="Calibri" w:hAnsi="Calibri"/>
          <w:b/>
          <w:i w:val="0"/>
          <w:color w:val="1B2A32"/>
          <w:sz w:val="21"/>
        </w:rPr>
        <w:t>relief sought</w:t>
      </w:r>
      <w:r>
        <w:rPr>
          <w:rFonts w:ascii="Calibri" w:hAnsi="Calibri"/>
          <w:b w:val="0"/>
          <w:i w:val="0"/>
          <w:color w:val="1B2A32"/>
          <w:sz w:val="21"/>
        </w:rPr>
        <w:t xml:space="preserve"> (damages, specific performance, debt + interest, injunction, declaration, account, termination, etc.).</w:t>
      </w:r>
    </w:p>
    <w:p>
      <w:pPr>
        <w:keepNext/>
        <w:spacing w:before="320" w:after="140"/>
        <w:pBdr>
          <w:bottom w:val="single" w:sz="12" w:space="3" w:color="C6A15B"/>
        </w:pBdr>
      </w:pPr>
      <w:r>
        <w:rPr>
          <w:rFonts w:ascii="Calibri" w:hAnsi="Calibri"/>
          <w:b/>
          <w:i w:val="0"/>
          <w:color w:val="123B4F"/>
          <w:sz w:val="34"/>
        </w:rPr>
        <w:t>15.  User Roles &amp; Access Management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Role</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Who</w:t>
            </w:r>
          </w:p>
        </w:tc>
        <w:tc>
          <w:tcPr>
            <w:tcW w:type="dxa" w:w="5132"/>
            <w:shd w:val="clear" w:color="auto" w:fill="123B4F"/>
            <w:tcMar>
              <w:top w:w="60" w:type="dxa"/>
              <w:bottom w:w="60" w:type="dxa"/>
              <w:start w:w="110" w:type="dxa"/>
              <w:end w:w="110" w:type="dxa"/>
            </w:tcMar>
          </w:tcPr>
          <w:p>
            <w:pPr>
              <w:spacing w:after="0"/>
            </w:pPr>
            <w:r>
              <w:rPr>
                <w:rFonts w:ascii="Calibri" w:hAnsi="Calibri"/>
                <w:b/>
                <w:i w:val="0"/>
                <w:color w:val="FFFFFF"/>
                <w:sz w:val="17"/>
              </w:rPr>
              <w:t>Core permissions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Claimant</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Party commencing (any business/individual)</w:t>
            </w:r>
          </w:p>
        </w:tc>
        <w:tc>
          <w:tcPr>
            <w:tcW w:type="dxa" w:w="5132"/>
            <w:tcMar>
              <w:top w:w="60" w:type="dxa"/>
              <w:bottom w:w="60" w:type="dxa"/>
              <w:start w:w="110" w:type="dxa"/>
              <w:end w:w="110" w:type="dxa"/>
            </w:tcMar>
          </w:tcPr>
          <w:p>
            <w:pPr>
              <w:spacing w:after="0"/>
              <w:jc w:val="left"/>
            </w:pPr>
            <w:r>
              <w:rPr>
                <w:rFonts w:ascii="Calibri" w:hAnsi="Calibri"/>
                <w:b w:val="0"/>
                <w:i w:val="0"/>
                <w:color w:val="1B2A32"/>
                <w:sz w:val="17"/>
              </w:rPr>
              <w:t>File request; upload contract &amp; evidence; nominate arbitrator; join hearings; e-sign; fund/receive escrow</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Respondent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The other party</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Respond; counterclaim; nominate arbitrator; upload evidence; join; e-sign; escrow</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Arbitrator / Tribunal</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Empanelled, conflict-checked neutral(s)</w:t>
            </w:r>
          </w:p>
        </w:tc>
        <w:tc>
          <w:tcPr>
            <w:tcW w:type="dxa" w:w="5132"/>
            <w:tcMar>
              <w:top w:w="60" w:type="dxa"/>
              <w:bottom w:w="60" w:type="dxa"/>
              <w:start w:w="110" w:type="dxa"/>
              <w:end w:w="110" w:type="dxa"/>
            </w:tcMar>
          </w:tcPr>
          <w:p>
            <w:pPr>
              <w:spacing w:after="0"/>
              <w:jc w:val="left"/>
            </w:pPr>
            <w:r>
              <w:rPr>
                <w:rFonts w:ascii="Calibri" w:hAnsi="Calibri"/>
                <w:b w:val="0"/>
                <w:i w:val="0"/>
                <w:color w:val="1B2A32"/>
                <w:sz w:val="17"/>
              </w:rPr>
              <w:t>View filings &amp; evidence; conduct hearings; issue orders &amp; award; cannot alter fees/escrow</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Mediator</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Empanelled neutral</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Conduct sessions; draft MSA; issue reports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Case Manager / Tribunal Secretary</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Equator officer</w:t>
            </w:r>
          </w:p>
        </w:tc>
        <w:tc>
          <w:tcPr>
            <w:tcW w:type="dxa" w:w="5132"/>
            <w:tcMar>
              <w:top w:w="60" w:type="dxa"/>
              <w:bottom w:w="60" w:type="dxa"/>
              <w:start w:w="110" w:type="dxa"/>
              <w:end w:w="110" w:type="dxa"/>
            </w:tcMar>
          </w:tcPr>
          <w:p>
            <w:pPr>
              <w:spacing w:after="0"/>
              <w:jc w:val="left"/>
            </w:pPr>
            <w:r>
              <w:rPr>
                <w:rFonts w:ascii="Calibri" w:hAnsi="Calibri"/>
                <w:b w:val="0"/>
                <w:i w:val="0"/>
                <w:color w:val="1B2A32"/>
                <w:sz w:val="17"/>
              </w:rPr>
              <w:t>Screen; appoint; enforce timeline; schedule; manage documents, escrow &amp; repository; support tribunal (no decision role)</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Counsel / Representative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For either party</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Represent, file and argue on authorisation; attend hearings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Administrator</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Equator admin</w:t>
            </w:r>
          </w:p>
        </w:tc>
        <w:tc>
          <w:tcPr>
            <w:tcW w:type="dxa" w:w="5132"/>
            <w:tcMar>
              <w:top w:w="60" w:type="dxa"/>
              <w:bottom w:w="60" w:type="dxa"/>
              <w:start w:w="110" w:type="dxa"/>
              <w:end w:w="110" w:type="dxa"/>
            </w:tcMar>
          </w:tcPr>
          <w:p>
            <w:pPr>
              <w:spacing w:after="0"/>
              <w:jc w:val="left"/>
            </w:pPr>
            <w:r>
              <w:rPr>
                <w:rFonts w:ascii="Calibri" w:hAnsi="Calibri"/>
                <w:b w:val="0"/>
                <w:i w:val="0"/>
                <w:color w:val="1B2A32"/>
                <w:sz w:val="17"/>
              </w:rPr>
              <w:t>Panel &amp; grading; audit logs; compliance &amp; DPDP; no access to deliberations</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Officer</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Equator finance + partner bank</w:t>
            </w:r>
          </w:p>
        </w:tc>
        <w:tc>
          <w:tcPr>
            <w:tcW w:type="dxa" w:w="513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 up escrow; verify funding; conditional release; KYC/PMLA</w:t>
            </w:r>
          </w:p>
        </w:tc>
      </w:tr>
    </w:tbl>
    <w:p>
      <w:pPr>
        <w:spacing w:after="80"/>
      </w:pPr>
    </w:p>
    <w:p>
      <w:pPr>
        <w:spacing w:before="20" w:after="200"/>
        <w:jc w:val="center"/>
      </w:pPr>
      <w:r>
        <w:rPr>
          <w:rFonts w:ascii="Calibri" w:hAnsi="Calibri"/>
          <w:b w:val="0"/>
          <w:i/>
          <w:color w:val="556168"/>
          <w:sz w:val="17"/>
        </w:rPr>
        <w:t>Table 3 — Roles and least-privilege access (arbitration &amp; mediation).</w:t>
      </w:r>
    </w:p>
    <w:p>
      <w:pPr>
        <w:keepNext/>
        <w:spacing w:before="320" w:after="140"/>
        <w:pBdr>
          <w:bottom w:val="single" w:sz="12" w:space="3" w:color="C6A15B"/>
        </w:pBdr>
      </w:pPr>
      <w:r>
        <w:rPr>
          <w:rFonts w:ascii="Calibri" w:hAnsi="Calibri"/>
          <w:b/>
          <w:i w:val="0"/>
          <w:color w:val="123B4F"/>
          <w:sz w:val="34"/>
        </w:rPr>
        <w:t>16.  Onboarding &amp; Registration (KYC / KYB)</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Businesses verify who they are (</w:t>
            </w:r>
            <w:r>
              <w:rPr>
                <w:rFonts w:ascii="Calibri" w:hAnsi="Calibri"/>
                <w:b/>
                <w:i w:val="0"/>
                <w:color w:val="1B2A32"/>
                <w:sz w:val="20"/>
              </w:rPr>
              <w:t>KYB</w:t>
            </w:r>
            <w:r>
              <w:rPr>
                <w:rFonts w:ascii="Calibri" w:hAnsi="Calibri"/>
                <w:b w:val="0"/>
                <w:i w:val="0"/>
                <w:color w:val="1B2A32"/>
                <w:sz w:val="20"/>
              </w:rPr>
              <w:t xml:space="preserve"> — know your business), the platform captures the contract and the arbitration clause, DPDP consent is recorded, and the matter is triaged to the right mechanism.</w:t>
            </w:r>
          </w:p>
        </w:tc>
      </w:tr>
    </w:tbl>
    <w:p>
      <w:pPr>
        <w:spacing w:after="120"/>
      </w:pPr>
    </w:p>
    <w:p>
      <w:pPr>
        <w:pStyle w:val="ListNumber"/>
        <w:spacing w:after="60"/>
        <w:jc w:val="both"/>
      </w:pPr>
      <w:r>
        <w:rPr>
          <w:rFonts w:ascii="Calibri" w:hAnsi="Calibri"/>
          <w:b/>
          <w:i w:val="0"/>
          <w:color w:val="1B2A32"/>
          <w:sz w:val="21"/>
        </w:rPr>
        <w:t>Dispute Explorer (no login):</w:t>
      </w:r>
      <w:r>
        <w:rPr>
          <w:rFonts w:ascii="Calibri" w:hAnsi="Calibri"/>
          <w:b w:val="0"/>
          <w:i w:val="0"/>
          <w:color w:val="1B2A32"/>
          <w:sz w:val="21"/>
        </w:rPr>
        <w:t xml:space="preserve"> AI-assisted self-assessment — mechanism, arbitrability and likely remedies.</w:t>
      </w:r>
    </w:p>
    <w:p>
      <w:pPr>
        <w:pStyle w:val="ListNumber"/>
        <w:spacing w:after="60"/>
        <w:jc w:val="both"/>
      </w:pPr>
      <w:r>
        <w:rPr>
          <w:rFonts w:ascii="Calibri" w:hAnsi="Calibri"/>
          <w:b/>
          <w:i w:val="0"/>
          <w:color w:val="1B2A32"/>
          <w:sz w:val="21"/>
        </w:rPr>
        <w:t>Account &amp; KYB:</w:t>
      </w:r>
      <w:r>
        <w:rPr>
          <w:rFonts w:ascii="Calibri" w:hAnsi="Calibri"/>
          <w:b w:val="0"/>
          <w:i w:val="0"/>
          <w:color w:val="1B2A32"/>
          <w:sz w:val="21"/>
        </w:rPr>
        <w:t xml:space="preserve"> entity verification (CIN/GSTIN/PAN, authorised-signatory proof, board resolution/authority), plus individual KYC for signatories.</w:t>
      </w:r>
    </w:p>
    <w:p>
      <w:pPr>
        <w:pStyle w:val="ListNumber"/>
        <w:spacing w:after="60"/>
        <w:jc w:val="both"/>
      </w:pPr>
      <w:r>
        <w:rPr>
          <w:rFonts w:ascii="Calibri" w:hAnsi="Calibri"/>
          <w:b/>
          <w:i w:val="0"/>
          <w:color w:val="1B2A32"/>
          <w:sz w:val="21"/>
        </w:rPr>
        <w:t>DPDP consent:</w:t>
      </w:r>
      <w:r>
        <w:rPr>
          <w:rFonts w:ascii="Calibri" w:hAnsi="Calibri"/>
          <w:b w:val="0"/>
          <w:i w:val="0"/>
          <w:color w:val="1B2A32"/>
          <w:sz w:val="21"/>
        </w:rPr>
        <w:t xml:space="preserve"> itemised notice and consent for processing commercially sensitive data; confidentiality undertakings.</w:t>
      </w:r>
    </w:p>
    <w:p>
      <w:pPr>
        <w:pStyle w:val="ListNumber"/>
        <w:spacing w:after="60"/>
        <w:jc w:val="both"/>
      </w:pPr>
      <w:r>
        <w:rPr>
          <w:rFonts w:ascii="Calibri" w:hAnsi="Calibri"/>
          <w:b/>
          <w:i w:val="0"/>
          <w:color w:val="1B2A32"/>
          <w:sz w:val="21"/>
        </w:rPr>
        <w:t>Dispute intake:</w:t>
      </w:r>
      <w:r>
        <w:rPr>
          <w:rFonts w:ascii="Calibri" w:hAnsi="Calibri"/>
          <w:b w:val="0"/>
          <w:i w:val="0"/>
          <w:color w:val="1B2A32"/>
          <w:sz w:val="21"/>
        </w:rPr>
        <w:t xml:space="preserve"> dispute type → issues → sector → claim value → arbitration clause? → seat/law/language; upload the contract, the clause and key evidence.</w:t>
      </w:r>
    </w:p>
    <w:p>
      <w:pPr>
        <w:pStyle w:val="ListNumber"/>
        <w:spacing w:after="60"/>
        <w:jc w:val="both"/>
      </w:pPr>
      <w:r>
        <w:rPr>
          <w:rFonts w:ascii="Calibri" w:hAnsi="Calibri"/>
          <w:b/>
          <w:i w:val="0"/>
          <w:color w:val="1B2A32"/>
          <w:sz w:val="21"/>
        </w:rPr>
        <w:t>Mechanism triage &amp; agreement to the Rules:</w:t>
      </w:r>
      <w:r>
        <w:rPr>
          <w:rFonts w:ascii="Calibri" w:hAnsi="Calibri"/>
          <w:b w:val="0"/>
          <w:i w:val="0"/>
          <w:color w:val="1B2A32"/>
          <w:sz w:val="21"/>
        </w:rPr>
        <w:t xml:space="preserve"> the platform runs the arbitrability/mechanism triage; parties accept the applicable Rules and fee schedule and e-sign.</w:t>
      </w:r>
    </w:p>
    <w:p>
      <w:pPr>
        <w:pStyle w:val="ListNumber"/>
        <w:spacing w:after="60"/>
        <w:jc w:val="both"/>
      </w:pPr>
      <w:r>
        <w:rPr>
          <w:rFonts w:ascii="Calibri" w:hAnsi="Calibri"/>
          <w:b/>
          <w:i w:val="0"/>
          <w:color w:val="1B2A32"/>
          <w:sz w:val="21"/>
        </w:rPr>
        <w:t>Screening &amp; registration:</w:t>
      </w:r>
      <w:r>
        <w:rPr>
          <w:rFonts w:ascii="Calibri" w:hAnsi="Calibri"/>
          <w:b w:val="0"/>
          <w:i w:val="0"/>
          <w:color w:val="1B2A32"/>
          <w:sz w:val="21"/>
        </w:rPr>
        <w:t xml:space="preserve"> the case manager validates, assigns a case number, and opens the file.</w:t>
      </w:r>
    </w:p>
    <w:p>
      <w:pPr>
        <w:spacing w:after="40"/>
      </w:pPr>
    </w:p>
    <w:p>
      <w:pPr>
        <w:keepNext/>
        <w:spacing w:before="320" w:after="140"/>
        <w:pBdr>
          <w:bottom w:val="single" w:sz="12" w:space="3" w:color="C6A15B"/>
        </w:pBdr>
      </w:pPr>
      <w:r>
        <w:rPr>
          <w:rFonts w:ascii="Calibri" w:hAnsi="Calibri"/>
          <w:b/>
          <w:i w:val="0"/>
          <w:color w:val="123B4F"/>
          <w:sz w:val="34"/>
        </w:rPr>
        <w:t>17.  End-to-End Workflow (Dual-Track)</w:t>
      </w:r>
    </w:p>
    <w:p>
      <w:pPr>
        <w:spacing w:after="140"/>
        <w:jc w:val="both"/>
      </w:pPr>
      <w:r>
        <w:rPr>
          <w:rFonts w:ascii="Calibri" w:hAnsi="Calibri"/>
          <w:b w:val="0"/>
          <w:i w:val="0"/>
          <w:color w:val="1B2A32"/>
          <w:sz w:val="21"/>
        </w:rPr>
        <w:t xml:space="preserve">Commercial matters run on one of three tracks — </w:t>
      </w:r>
      <w:r>
        <w:rPr>
          <w:rFonts w:ascii="Calibri" w:hAnsi="Calibri"/>
          <w:b/>
          <w:i w:val="0"/>
          <w:color w:val="1B2A32"/>
          <w:sz w:val="21"/>
        </w:rPr>
        <w:t>arbitration</w:t>
      </w:r>
      <w:r>
        <w:rPr>
          <w:rFonts w:ascii="Calibri" w:hAnsi="Calibri"/>
          <w:b w:val="0"/>
          <w:i w:val="0"/>
          <w:color w:val="1B2A32"/>
          <w:sz w:val="21"/>
        </w:rPr>
        <w:t xml:space="preserve">, </w:t>
      </w:r>
      <w:r>
        <w:rPr>
          <w:rFonts w:ascii="Calibri" w:hAnsi="Calibri"/>
          <w:b/>
          <w:i w:val="0"/>
          <w:color w:val="1B2A32"/>
          <w:sz w:val="21"/>
        </w:rPr>
        <w:t>mediation (incl. s.12A)</w:t>
      </w:r>
      <w:r>
        <w:rPr>
          <w:rFonts w:ascii="Calibri" w:hAnsi="Calibri"/>
          <w:b w:val="0"/>
          <w:i w:val="0"/>
          <w:color w:val="1B2A32"/>
          <w:sz w:val="21"/>
        </w:rPr>
        <w:t xml:space="preserve"> or </w:t>
      </w:r>
      <w:r>
        <w:rPr>
          <w:rFonts w:ascii="Calibri" w:hAnsi="Calibri"/>
          <w:b/>
          <w:i w:val="0"/>
          <w:color w:val="1B2A32"/>
          <w:sz w:val="21"/>
        </w:rPr>
        <w:t>MSME Samadhaan</w:t>
      </w:r>
      <w:r>
        <w:rPr>
          <w:rFonts w:ascii="Calibri" w:hAnsi="Calibri"/>
          <w:b w:val="0"/>
          <w:i w:val="0"/>
          <w:color w:val="1B2A32"/>
          <w:sz w:val="21"/>
        </w:rPr>
        <w:t xml:space="preserve"> — sharing common intake, escrow, e-execution and enforcement. The arbitration track proceeds from request to appointment, Terms of Reference and Procedural Order No. 1, pleadings and counterclaim, interim relief where needed, evidence and hearings, and a reasoned award within the Section 29A clock, followed by the challenge window and enforcement. The mediation track proceeds from request/notice to mediator appointment, sessions, and a Mediated Settlement Agreement. A matter can also </w:t>
      </w:r>
      <w:r>
        <w:rPr>
          <w:rFonts w:ascii="Calibri" w:hAnsi="Calibri"/>
          <w:b/>
          <w:i w:val="0"/>
          <w:color w:val="1B2A32"/>
          <w:sz w:val="21"/>
        </w:rPr>
        <w:t>move between tracks</w:t>
      </w:r>
      <w:r>
        <w:rPr>
          <w:rFonts w:ascii="Calibri" w:hAnsi="Calibri"/>
          <w:b w:val="0"/>
          <w:i w:val="0"/>
          <w:color w:val="1B2A32"/>
          <w:sz w:val="21"/>
        </w:rPr>
        <w:t xml:space="preserve"> — a common and powerful pattern is </w:t>
      </w:r>
      <w:r>
        <w:rPr>
          <w:rFonts w:ascii="Calibri" w:hAnsi="Calibri"/>
          <w:b/>
          <w:i w:val="0"/>
          <w:color w:val="1B2A32"/>
          <w:sz w:val="21"/>
        </w:rPr>
        <w:t>med-arb</w:t>
      </w:r>
      <w:r>
        <w:rPr>
          <w:rFonts w:ascii="Calibri" w:hAnsi="Calibri"/>
          <w:b w:val="0"/>
          <w:i w:val="0"/>
          <w:color w:val="1B2A32"/>
          <w:sz w:val="21"/>
        </w:rPr>
        <w:t>: attempt mediation, and if it fails, proceed to a binding award.</w:t>
      </w:r>
    </w:p>
    <w:p>
      <w:pPr>
        <w:spacing w:before="80" w:after="40"/>
        <w:jc w:val="center"/>
      </w:pPr>
      <w:r>
        <w:drawing>
          <wp:inline xmlns:a="http://schemas.openxmlformats.org/drawingml/2006/main" xmlns:pic="http://schemas.openxmlformats.org/drawingml/2006/picture">
            <wp:extent cx="4023360" cy="4885509"/>
            <wp:docPr id="6" name="Picture 6"/>
            <wp:cNvGraphicFramePr>
              <a:graphicFrameLocks noChangeAspect="1"/>
            </wp:cNvGraphicFramePr>
            <a:graphic>
              <a:graphicData uri="http://schemas.openxmlformats.org/drawingml/2006/picture">
                <pic:pic>
                  <pic:nvPicPr>
                    <pic:cNvPr id="0" name="cm01_arbitration_lifecycle.png"/>
                    <pic:cNvPicPr/>
                  </pic:nvPicPr>
                  <pic:blipFill>
                    <a:blip r:embed="rId10"/>
                    <a:stretch>
                      <a:fillRect/>
                    </a:stretch>
                  </pic:blipFill>
                  <pic:spPr>
                    <a:xfrm>
                      <a:off x="0" y="0"/>
                      <a:ext cx="4023360" cy="4885509"/>
                    </a:xfrm>
                    <a:prstGeom prst="rect"/>
                  </pic:spPr>
                </pic:pic>
              </a:graphicData>
            </a:graphic>
          </wp:inline>
        </w:drawing>
      </w:r>
    </w:p>
    <w:p>
      <w:pPr>
        <w:spacing w:before="20" w:after="200"/>
        <w:jc w:val="center"/>
      </w:pPr>
      <w:r>
        <w:rPr>
          <w:rFonts w:ascii="Calibri" w:hAnsi="Calibri"/>
          <w:b w:val="0"/>
          <w:i/>
          <w:color w:val="556168"/>
          <w:sz w:val="17"/>
        </w:rPr>
        <w:t>Figure 6 — Arbitration track lifecycle (see Figures 3–4 for the mediation and MSME tracks).</w:t>
      </w:r>
    </w:p>
    <w:p>
      <w:pPr>
        <w:keepNext/>
        <w:spacing w:before="320" w:after="140"/>
        <w:pBdr>
          <w:bottom w:val="single" w:sz="12" w:space="3" w:color="C6A15B"/>
        </w:pBdr>
      </w:pPr>
      <w:r>
        <w:rPr>
          <w:rFonts w:ascii="Calibri" w:hAnsi="Calibri"/>
          <w:b/>
          <w:i w:val="0"/>
          <w:color w:val="123B4F"/>
          <w:sz w:val="34"/>
        </w:rPr>
        <w:t>18.  Initiation, Response &amp; Counterclaim</w:t>
      </w:r>
    </w:p>
    <w:p>
      <w:pPr>
        <w:spacing w:after="140"/>
        <w:jc w:val="both"/>
      </w:pPr>
      <w:r>
        <w:rPr>
          <w:rFonts w:ascii="Calibri" w:hAnsi="Calibri"/>
          <w:b w:val="0"/>
          <w:i w:val="0"/>
          <w:color w:val="1B2A32"/>
          <w:sz w:val="21"/>
        </w:rPr>
        <w:t xml:space="preserve">Either party may commence. In </w:t>
      </w:r>
      <w:r>
        <w:rPr>
          <w:rFonts w:ascii="Calibri" w:hAnsi="Calibri"/>
          <w:b/>
          <w:i w:val="0"/>
          <w:color w:val="1B2A32"/>
          <w:sz w:val="21"/>
        </w:rPr>
        <w:t>arbitration</w:t>
      </w:r>
      <w:r>
        <w:rPr>
          <w:rFonts w:ascii="Calibri" w:hAnsi="Calibri"/>
          <w:b w:val="0"/>
          <w:i w:val="0"/>
          <w:color w:val="1B2A32"/>
          <w:sz w:val="21"/>
        </w:rPr>
        <w:t xml:space="preserve">, the Claimant files a </w:t>
      </w:r>
      <w:r>
        <w:rPr>
          <w:rFonts w:ascii="Calibri" w:hAnsi="Calibri"/>
          <w:b/>
          <w:i w:val="0"/>
          <w:color w:val="1B2A32"/>
          <w:sz w:val="21"/>
        </w:rPr>
        <w:t>Request for Arbitration</w:t>
      </w:r>
      <w:r>
        <w:rPr>
          <w:rFonts w:ascii="Calibri" w:hAnsi="Calibri"/>
          <w:b w:val="0"/>
          <w:i w:val="0"/>
          <w:color w:val="1B2A32"/>
          <w:sz w:val="21"/>
        </w:rPr>
        <w:t xml:space="preserve"> invoking the arbitration agreement; the Respondent files a </w:t>
      </w:r>
      <w:r>
        <w:rPr>
          <w:rFonts w:ascii="Calibri" w:hAnsi="Calibri"/>
          <w:b/>
          <w:i w:val="0"/>
          <w:color w:val="1B2A32"/>
          <w:sz w:val="21"/>
        </w:rPr>
        <w:t>Response</w:t>
      </w:r>
      <w:r>
        <w:rPr>
          <w:rFonts w:ascii="Calibri" w:hAnsi="Calibri"/>
          <w:b w:val="0"/>
          <w:i w:val="0"/>
          <w:color w:val="1B2A32"/>
          <w:sz w:val="21"/>
        </w:rPr>
        <w:t xml:space="preserve"> and may bring a </w:t>
      </w:r>
      <w:r>
        <w:rPr>
          <w:rFonts w:ascii="Calibri" w:hAnsi="Calibri"/>
          <w:b/>
          <w:i w:val="0"/>
          <w:color w:val="1B2A32"/>
          <w:sz w:val="21"/>
        </w:rPr>
        <w:t>counterclaim</w:t>
      </w:r>
      <w:r>
        <w:rPr>
          <w:rFonts w:ascii="Calibri" w:hAnsi="Calibri"/>
          <w:b w:val="0"/>
          <w:i w:val="0"/>
          <w:color w:val="1B2A32"/>
          <w:sz w:val="21"/>
        </w:rPr>
        <w:t xml:space="preserve"> (Section 23). In </w:t>
      </w:r>
      <w:r>
        <w:rPr>
          <w:rFonts w:ascii="Calibri" w:hAnsi="Calibri"/>
          <w:b/>
          <w:i w:val="0"/>
          <w:color w:val="1B2A32"/>
          <w:sz w:val="21"/>
        </w:rPr>
        <w:t>mediation</w:t>
      </w:r>
      <w:r>
        <w:rPr>
          <w:rFonts w:ascii="Calibri" w:hAnsi="Calibri"/>
          <w:b w:val="0"/>
          <w:i w:val="0"/>
          <w:color w:val="1B2A32"/>
          <w:sz w:val="21"/>
        </w:rPr>
        <w:t>, either party files a Request and the other is invited to participate (for the mandatory s.12A route, the applicant initiates pre-institution mediation before any suit). The platform is symmetrical and captures the whole dispute — claims and counterclaims — so the proceeding resolves the entire commercial relationship, not one side's grievance.</w:t>
      </w:r>
    </w:p>
    <w:p>
      <w:pPr>
        <w:keepNext/>
        <w:spacing w:before="320" w:after="140"/>
        <w:pBdr>
          <w:bottom w:val="single" w:sz="12" w:space="3" w:color="C6A15B"/>
        </w:pBdr>
      </w:pPr>
      <w:r>
        <w:rPr>
          <w:rFonts w:ascii="Calibri" w:hAnsi="Calibri"/>
          <w:b/>
          <w:i w:val="0"/>
          <w:color w:val="123B4F"/>
          <w:sz w:val="34"/>
        </w:rPr>
        <w:t>19.  Neutral Selection &amp; Empanelment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Parties choose a sole arbitrator or a three-member tribunal (or a mediator), filtered by sector expertise, seniority, seat, language and fee. Every neutral clears the Act's disclosure and independence tests before appointment.</w:t>
            </w:r>
          </w:p>
        </w:tc>
      </w:tr>
    </w:tbl>
    <w:p>
      <w:pPr>
        <w:spacing w:after="120"/>
      </w:pPr>
    </w:p>
    <w:p>
      <w:pPr>
        <w:spacing w:after="140"/>
        <w:jc w:val="both"/>
      </w:pPr>
      <w:r>
        <w:rPr>
          <w:rFonts w:ascii="Calibri" w:hAnsi="Calibri"/>
          <w:b w:val="0"/>
          <w:i w:val="0"/>
          <w:color w:val="1B2A32"/>
          <w:sz w:val="21"/>
        </w:rPr>
        <w:t xml:space="preserve">Equator maintains a graded panel of </w:t>
      </w:r>
      <w:r>
        <w:rPr>
          <w:rFonts w:ascii="Calibri" w:hAnsi="Calibri"/>
          <w:b/>
          <w:i w:val="0"/>
          <w:color w:val="1B2A32"/>
          <w:sz w:val="21"/>
        </w:rPr>
        <w:t>arbitrators</w:t>
      </w:r>
      <w:r>
        <w:rPr>
          <w:rFonts w:ascii="Calibri" w:hAnsi="Calibri"/>
          <w:b w:val="0"/>
          <w:i w:val="0"/>
          <w:color w:val="1B2A32"/>
          <w:sz w:val="21"/>
        </w:rPr>
        <w:t xml:space="preserve"> (former judges, senior advocates, and sector experts) and </w:t>
      </w:r>
      <w:r>
        <w:rPr>
          <w:rFonts w:ascii="Calibri" w:hAnsi="Calibri"/>
          <w:b/>
          <w:i w:val="0"/>
          <w:color w:val="1B2A32"/>
          <w:sz w:val="21"/>
        </w:rPr>
        <w:t>mediators</w:t>
      </w:r>
      <w:r>
        <w:rPr>
          <w:rFonts w:ascii="Calibri" w:hAnsi="Calibri"/>
          <w:b w:val="0"/>
          <w:i w:val="0"/>
          <w:color w:val="1B2A32"/>
          <w:sz w:val="21"/>
        </w:rPr>
        <w:t xml:space="preserve">, filterable by sector specialisation, seniority/grade, seat, language, availability and fee. Appointment follows party autonomy: the parties may jointly name a </w:t>
      </w:r>
      <w:r>
        <w:rPr>
          <w:rFonts w:ascii="Calibri" w:hAnsi="Calibri"/>
          <w:b/>
          <w:i w:val="0"/>
          <w:color w:val="1B2A32"/>
          <w:sz w:val="21"/>
        </w:rPr>
        <w:t>sole arbitrator</w:t>
      </w:r>
      <w:r>
        <w:rPr>
          <w:rFonts w:ascii="Calibri" w:hAnsi="Calibri"/>
          <w:b w:val="0"/>
          <w:i w:val="0"/>
          <w:color w:val="1B2A32"/>
          <w:sz w:val="21"/>
        </w:rPr>
        <w:t xml:space="preserve">, each nominate a co-arbitrator (who then appoint the presiding arbitrator) for a </w:t>
      </w:r>
      <w:r>
        <w:rPr>
          <w:rFonts w:ascii="Calibri" w:hAnsi="Calibri"/>
          <w:b/>
          <w:i w:val="0"/>
          <w:color w:val="1B2A32"/>
          <w:sz w:val="21"/>
        </w:rPr>
        <w:t>three-member tribunal</w:t>
      </w:r>
      <w:r>
        <w:rPr>
          <w:rFonts w:ascii="Calibri" w:hAnsi="Calibri"/>
          <w:b w:val="0"/>
          <w:i w:val="0"/>
          <w:color w:val="1B2A32"/>
          <w:sz w:val="21"/>
        </w:rPr>
        <w:t xml:space="preserve">, or ask Equator to appoint institutionally (the model the 2024 Bill promotes, and the default where parties do not agree or where a court would otherwise appoint under Section 11). Every candidate makes the </w:t>
      </w:r>
      <w:r>
        <w:rPr>
          <w:rFonts w:ascii="Calibri" w:hAnsi="Calibri"/>
          <w:b/>
          <w:i w:val="0"/>
          <w:color w:val="1B2A32"/>
          <w:sz w:val="21"/>
        </w:rPr>
        <w:t>Section 12 disclosures</w:t>
      </w:r>
      <w:r>
        <w:rPr>
          <w:rFonts w:ascii="Calibri" w:hAnsi="Calibri"/>
          <w:b w:val="0"/>
          <w:i w:val="0"/>
          <w:color w:val="1B2A32"/>
          <w:sz w:val="21"/>
        </w:rPr>
        <w:t xml:space="preserve"> and is cleared against the Fifth and Seventh Schedules before the appointment is confirmed.</w:t>
      </w:r>
    </w:p>
    <w:p>
      <w:pPr>
        <w:spacing w:before="80" w:after="40"/>
        <w:jc w:val="center"/>
      </w:pPr>
      <w:r>
        <w:drawing>
          <wp:inline xmlns:a="http://schemas.openxmlformats.org/drawingml/2006/main" xmlns:pic="http://schemas.openxmlformats.org/drawingml/2006/picture">
            <wp:extent cx="4206240" cy="4610362"/>
            <wp:docPr id="7" name="Picture 7"/>
            <wp:cNvGraphicFramePr>
              <a:graphicFrameLocks noChangeAspect="1"/>
            </wp:cNvGraphicFramePr>
            <a:graphic>
              <a:graphicData uri="http://schemas.openxmlformats.org/drawingml/2006/picture">
                <pic:pic>
                  <pic:nvPicPr>
                    <pic:cNvPr id="0" name="cm05_neutral_appointment.png"/>
                    <pic:cNvPicPr/>
                  </pic:nvPicPr>
                  <pic:blipFill>
                    <a:blip r:embed="rId14"/>
                    <a:stretch>
                      <a:fillRect/>
                    </a:stretch>
                  </pic:blipFill>
                  <pic:spPr>
                    <a:xfrm>
                      <a:off x="0" y="0"/>
                      <a:ext cx="4206240" cy="4610362"/>
                    </a:xfrm>
                    <a:prstGeom prst="rect"/>
                  </pic:spPr>
                </pic:pic>
              </a:graphicData>
            </a:graphic>
          </wp:inline>
        </w:drawing>
      </w:r>
    </w:p>
    <w:p>
      <w:pPr>
        <w:spacing w:before="20" w:after="200"/>
        <w:jc w:val="center"/>
      </w:pPr>
      <w:r>
        <w:rPr>
          <w:rFonts w:ascii="Calibri" w:hAnsi="Calibri"/>
          <w:b w:val="0"/>
          <w:i/>
          <w:color w:val="556168"/>
          <w:sz w:val="17"/>
        </w:rPr>
        <w:t>Figure 7 — Neutral selection, disclosure (s.12) and appointment.</w:t>
      </w:r>
    </w:p>
    <w:p>
      <w:pPr>
        <w:keepNext/>
        <w:spacing w:before="220" w:after="80"/>
      </w:pPr>
      <w:r>
        <w:rPr>
          <w:rFonts w:ascii="Calibri" w:hAnsi="Calibri"/>
          <w:b/>
          <w:i w:val="0"/>
          <w:color w:val="1E7A8C"/>
          <w:sz w:val="26"/>
        </w:rPr>
        <w:t>19.1   Empanelment standard</w:t>
      </w:r>
    </w:p>
    <w:p>
      <w:pPr>
        <w:spacing w:after="140"/>
        <w:jc w:val="both"/>
      </w:pPr>
      <w:r>
        <w:rPr>
          <w:rFonts w:ascii="Calibri" w:hAnsi="Calibri"/>
          <w:b w:val="0"/>
          <w:i w:val="0"/>
          <w:color w:val="1B2A32"/>
          <w:sz w:val="21"/>
        </w:rPr>
        <w:t>Empanelment requires demonstrated arbitration/mediation experience or accredited training, sector credentials, a clean conflicts declaration, acceptance of the Equator Code of Conduct and — as the Arbitration Council of India grading framework matures — institutional accreditation. Panellists are graded for fee and seniority, sector-tagged, and continuously evaluated through party feedback and award quality, with de-empanelment for breaches of independence or confidentiality.</w:t>
      </w:r>
    </w:p>
    <w:p>
      <w:pPr>
        <w:keepNext/>
        <w:spacing w:before="320" w:after="140"/>
        <w:pBdr>
          <w:bottom w:val="single" w:sz="12" w:space="3" w:color="C6A15B"/>
        </w:pBdr>
      </w:pPr>
      <w:r>
        <w:rPr>
          <w:rFonts w:ascii="Calibri" w:hAnsi="Calibri"/>
          <w:b/>
          <w:i w:val="0"/>
          <w:color w:val="123B4F"/>
          <w:sz w:val="34"/>
        </w:rPr>
        <w:t>20.  Conducting Proceedings — Case Manager &amp; Tribunal Secretary Playbook</w:t>
      </w:r>
    </w:p>
    <w:p>
      <w:pPr>
        <w:spacing w:after="140"/>
        <w:jc w:val="both"/>
      </w:pPr>
      <w:r>
        <w:rPr>
          <w:rFonts w:ascii="Calibri" w:hAnsi="Calibri"/>
          <w:b w:val="0"/>
          <w:i w:val="0"/>
          <w:color w:val="1B2A32"/>
          <w:sz w:val="21"/>
        </w:rPr>
        <w:t xml:space="preserve">The case manager is the institution's engine and, in arbitration, provides a </w:t>
      </w:r>
      <w:r>
        <w:rPr>
          <w:rFonts w:ascii="Calibri" w:hAnsi="Calibri"/>
          <w:b/>
          <w:i w:val="0"/>
          <w:color w:val="1B2A32"/>
          <w:sz w:val="21"/>
        </w:rPr>
        <w:t>tribunal-secretary</w:t>
      </w:r>
      <w:r>
        <w:rPr>
          <w:rFonts w:ascii="Calibri" w:hAnsi="Calibri"/>
          <w:b w:val="0"/>
          <w:i w:val="0"/>
          <w:color w:val="1B2A32"/>
          <w:sz w:val="21"/>
        </w:rPr>
        <w:t xml:space="preserve"> function — strictly administrative, never decisional. The rhythm: validate and register; serve notices and constitute the tribunal (disclosure and conflict checks); convene the first procedural hearing and settle </w:t>
      </w:r>
      <w:r>
        <w:rPr>
          <w:rFonts w:ascii="Calibri" w:hAnsi="Calibri"/>
          <w:b/>
          <w:i w:val="0"/>
          <w:color w:val="1B2A32"/>
          <w:sz w:val="21"/>
        </w:rPr>
        <w:t>Terms of Reference and Procedural Order No. 1</w:t>
      </w:r>
      <w:r>
        <w:rPr>
          <w:rFonts w:ascii="Calibri" w:hAnsi="Calibri"/>
          <w:b w:val="0"/>
          <w:i w:val="0"/>
          <w:color w:val="1B2A32"/>
          <w:sz w:val="21"/>
        </w:rPr>
        <w:t xml:space="preserve"> (timetable, seat, language, document protocol); manage the exchange of </w:t>
      </w:r>
      <w:r>
        <w:rPr>
          <w:rFonts w:ascii="Calibri" w:hAnsi="Calibri"/>
          <w:b/>
          <w:i w:val="0"/>
          <w:color w:val="1B2A32"/>
          <w:sz w:val="21"/>
        </w:rPr>
        <w:t>pleadings, counterclaim and evidence</w:t>
      </w:r>
      <w:r>
        <w:rPr>
          <w:rFonts w:ascii="Calibri" w:hAnsi="Calibri"/>
          <w:b w:val="0"/>
          <w:i w:val="0"/>
          <w:color w:val="1B2A32"/>
          <w:sz w:val="21"/>
        </w:rPr>
        <w:t xml:space="preserve">; schedule and support </w:t>
      </w:r>
      <w:r>
        <w:rPr>
          <w:rFonts w:ascii="Calibri" w:hAnsi="Calibri"/>
          <w:b/>
          <w:i w:val="0"/>
          <w:color w:val="1B2A32"/>
          <w:sz w:val="21"/>
        </w:rPr>
        <w:t>hearings</w:t>
      </w:r>
      <w:r>
        <w:rPr>
          <w:rFonts w:ascii="Calibri" w:hAnsi="Calibri"/>
          <w:b w:val="0"/>
          <w:i w:val="0"/>
          <w:color w:val="1B2A32"/>
          <w:sz w:val="21"/>
        </w:rPr>
        <w:t xml:space="preserve"> (in person, video or hybrid); track the </w:t>
      </w:r>
      <w:r>
        <w:rPr>
          <w:rFonts w:ascii="Calibri" w:hAnsi="Calibri"/>
          <w:b/>
          <w:i w:val="0"/>
          <w:color w:val="1B2A32"/>
          <w:sz w:val="21"/>
        </w:rPr>
        <w:t>Section 29A clock</w:t>
      </w:r>
      <w:r>
        <w:rPr>
          <w:rFonts w:ascii="Calibri" w:hAnsi="Calibri"/>
          <w:b w:val="0"/>
          <w:i w:val="0"/>
          <w:color w:val="1B2A32"/>
          <w:sz w:val="21"/>
        </w:rPr>
        <w:t xml:space="preserve"> and any extension; support the tribunal in issuing </w:t>
      </w:r>
      <w:r>
        <w:rPr>
          <w:rFonts w:ascii="Calibri" w:hAnsi="Calibri"/>
          <w:b/>
          <w:i w:val="0"/>
          <w:color w:val="1B2A32"/>
          <w:sz w:val="21"/>
        </w:rPr>
        <w:t>interim orders</w:t>
      </w:r>
      <w:r>
        <w:rPr>
          <w:rFonts w:ascii="Calibri" w:hAnsi="Calibri"/>
          <w:b w:val="0"/>
          <w:i w:val="0"/>
          <w:color w:val="1B2A32"/>
          <w:sz w:val="21"/>
        </w:rPr>
        <w:t xml:space="preserve"> and the </w:t>
      </w:r>
      <w:r>
        <w:rPr>
          <w:rFonts w:ascii="Calibri" w:hAnsi="Calibri"/>
          <w:b/>
          <w:i w:val="0"/>
          <w:color w:val="1B2A32"/>
          <w:sz w:val="21"/>
        </w:rPr>
        <w:t>award</w:t>
      </w:r>
      <w:r>
        <w:rPr>
          <w:rFonts w:ascii="Calibri" w:hAnsi="Calibri"/>
          <w:b w:val="0"/>
          <w:i w:val="0"/>
          <w:color w:val="1B2A32"/>
          <w:sz w:val="21"/>
        </w:rPr>
        <w:t xml:space="preserve"> (formatting, not content); set up </w:t>
      </w:r>
      <w:r>
        <w:rPr>
          <w:rFonts w:ascii="Calibri" w:hAnsi="Calibri"/>
          <w:b/>
          <w:i w:val="0"/>
          <w:color w:val="1B2A32"/>
          <w:sz w:val="21"/>
        </w:rPr>
        <w:t>escrow</w:t>
      </w:r>
      <w:r>
        <w:rPr>
          <w:rFonts w:ascii="Calibri" w:hAnsi="Calibri"/>
          <w:b w:val="0"/>
          <w:i w:val="0"/>
          <w:color w:val="1B2A32"/>
          <w:sz w:val="21"/>
        </w:rPr>
        <w:t xml:space="preserve"> and the </w:t>
      </w:r>
      <w:r>
        <w:rPr>
          <w:rFonts w:ascii="Calibri" w:hAnsi="Calibri"/>
          <w:b/>
          <w:i w:val="0"/>
          <w:color w:val="1B2A32"/>
          <w:sz w:val="21"/>
        </w:rPr>
        <w:t>enforcement/registration</w:t>
      </w:r>
      <w:r>
        <w:rPr>
          <w:rFonts w:ascii="Calibri" w:hAnsi="Calibri"/>
          <w:b w:val="0"/>
          <w:i w:val="0"/>
          <w:color w:val="1B2A32"/>
          <w:sz w:val="21"/>
        </w:rPr>
        <w:t xml:space="preserve"> steps; and maintain the </w:t>
      </w:r>
      <w:r>
        <w:rPr>
          <w:rFonts w:ascii="Calibri" w:hAnsi="Calibri"/>
          <w:b/>
          <w:i w:val="0"/>
          <w:color w:val="1B2A32"/>
          <w:sz w:val="21"/>
        </w:rPr>
        <w:t>award/MSA repository</w:t>
      </w:r>
      <w:r>
        <w:rPr>
          <w:rFonts w:ascii="Calibri" w:hAnsi="Calibri"/>
          <w:b w:val="0"/>
          <w:i w:val="0"/>
          <w:color w:val="1B2A32"/>
          <w:sz w:val="21"/>
        </w:rPr>
        <w:t xml:space="preserve"> and audit trail.</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426"/>
            <w:shd w:val="clear" w:color="auto" w:fill="123B4F"/>
            <w:tcMar>
              <w:top w:w="60" w:type="dxa"/>
              <w:bottom w:w="60" w:type="dxa"/>
              <w:start w:w="110" w:type="dxa"/>
              <w:end w:w="110" w:type="dxa"/>
            </w:tcMar>
          </w:tcPr>
          <w:p>
            <w:pPr>
              <w:spacing w:after="0"/>
            </w:pPr>
            <w:r>
              <w:rPr>
                <w:rFonts w:ascii="Calibri" w:hAnsi="Calibri"/>
                <w:b/>
                <w:i w:val="0"/>
                <w:color w:val="FFFFFF"/>
                <w:sz w:val="17"/>
              </w:rPr>
              <w:t>Stage</w:t>
            </w:r>
          </w:p>
        </w:tc>
        <w:tc>
          <w:tcPr>
            <w:tcW w:type="dxa" w:w="5702"/>
            <w:shd w:val="clear" w:color="auto" w:fill="123B4F"/>
            <w:tcMar>
              <w:top w:w="60" w:type="dxa"/>
              <w:bottom w:w="60" w:type="dxa"/>
              <w:start w:w="110" w:type="dxa"/>
              <w:end w:w="110" w:type="dxa"/>
            </w:tcMar>
          </w:tcPr>
          <w:p>
            <w:pPr>
              <w:spacing w:after="0"/>
            </w:pPr>
            <w:r>
              <w:rPr>
                <w:rFonts w:ascii="Calibri" w:hAnsi="Calibri"/>
                <w:b/>
                <w:i w:val="0"/>
                <w:color w:val="FFFFFF"/>
                <w:sz w:val="17"/>
              </w:rPr>
              <w:t>Case-manager / secretary actions</w:t>
            </w:r>
          </w:p>
        </w:tc>
        <w:tc>
          <w:tcPr>
            <w:tcW w:type="dxa" w:w="2376"/>
            <w:shd w:val="clear" w:color="auto" w:fill="123B4F"/>
            <w:tcMar>
              <w:top w:w="60" w:type="dxa"/>
              <w:bottom w:w="60" w:type="dxa"/>
              <w:start w:w="110" w:type="dxa"/>
              <w:end w:w="110" w:type="dxa"/>
            </w:tcMar>
          </w:tcPr>
          <w:p>
            <w:pPr>
              <w:spacing w:after="0"/>
            </w:pPr>
            <w:r>
              <w:rPr>
                <w:rFonts w:ascii="Calibri" w:hAnsi="Calibri"/>
                <w:b/>
                <w:i w:val="0"/>
                <w:color w:val="FFFFFF"/>
                <w:sz w:val="17"/>
              </w:rPr>
              <w:t>Key forms / outputs</w:t>
            </w:r>
          </w:p>
        </w:tc>
      </w:tr>
      <w:tr>
        <w:trPr>
          <w:trHeight w:val="0"/>
        </w:trPr>
        <w:tc>
          <w:tcPr>
            <w:tcW w:type="dxa" w:w="1426"/>
            <w:tcMar>
              <w:top w:w="60" w:type="dxa"/>
              <w:bottom w:w="60" w:type="dxa"/>
              <w:start w:w="110" w:type="dxa"/>
              <w:end w:w="110" w:type="dxa"/>
            </w:tcMar>
          </w:tcPr>
          <w:p>
            <w:pPr>
              <w:spacing w:after="0"/>
              <w:jc w:val="left"/>
            </w:pPr>
            <w:r>
              <w:rPr>
                <w:rFonts w:ascii="Calibri" w:hAnsi="Calibri"/>
                <w:b w:val="0"/>
                <w:i w:val="0"/>
                <w:color w:val="1B2A32"/>
                <w:sz w:val="17"/>
              </w:rPr>
              <w:t>Intake &amp; screening</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KYB/KYC &amp; consent; arbitrability/mechanism triage; register</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Screening checklist; case record</w:t>
            </w:r>
          </w:p>
        </w:tc>
      </w:tr>
      <w:tr>
        <w:trPr>
          <w:trHeight w:val="0"/>
        </w:trPr>
        <w:tc>
          <w:tcPr>
            <w:tcW w:type="dxa" w:w="142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Constitution</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Serve notice; run nominations/appointment; disclosure &amp; conflict check</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F-C05 Nomination; F-C06 Disclosure</w:t>
            </w:r>
          </w:p>
        </w:tc>
      </w:tr>
      <w:tr>
        <w:trPr>
          <w:trHeight w:val="0"/>
        </w:trPr>
        <w:tc>
          <w:tcPr>
            <w:tcW w:type="dxa" w:w="1426"/>
            <w:tcMar>
              <w:top w:w="60" w:type="dxa"/>
              <w:bottom w:w="60" w:type="dxa"/>
              <w:start w:w="110" w:type="dxa"/>
              <w:end w:w="110" w:type="dxa"/>
            </w:tcMar>
          </w:tcPr>
          <w:p>
            <w:pPr>
              <w:spacing w:after="0"/>
              <w:jc w:val="left"/>
            </w:pPr>
            <w:r>
              <w:rPr>
                <w:rFonts w:ascii="Calibri" w:hAnsi="Calibri"/>
                <w:b w:val="0"/>
                <w:i w:val="0"/>
                <w:color w:val="1B2A32"/>
                <w:sz w:val="17"/>
              </w:rPr>
              <w:t>Case setup</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First procedural hearing; ToR &amp; PO-1; timetable</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F-C07 ToR; F-C08 PO-1</w:t>
            </w:r>
          </w:p>
        </w:tc>
      </w:tr>
      <w:tr>
        <w:trPr>
          <w:trHeight w:val="0"/>
        </w:trPr>
        <w:tc>
          <w:tcPr>
            <w:tcW w:type="dxa" w:w="142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Pleadings</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Manage Statement of Claim, Defence &amp; counterclaim, evidence</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F-C09 SoC; F-C10 SoD/Counterclaim</w:t>
            </w:r>
          </w:p>
        </w:tc>
      </w:tr>
      <w:tr>
        <w:trPr>
          <w:trHeight w:val="0"/>
        </w:trPr>
        <w:tc>
          <w:tcPr>
            <w:tcW w:type="dxa" w:w="1426"/>
            <w:tcMar>
              <w:top w:w="60" w:type="dxa"/>
              <w:bottom w:w="60" w:type="dxa"/>
              <w:start w:w="110" w:type="dxa"/>
              <w:end w:w="110" w:type="dxa"/>
            </w:tcMar>
          </w:tcPr>
          <w:p>
            <w:pPr>
              <w:spacing w:after="0"/>
              <w:jc w:val="left"/>
            </w:pPr>
            <w:r>
              <w:rPr>
                <w:rFonts w:ascii="Calibri" w:hAnsi="Calibri"/>
                <w:b w:val="0"/>
                <w:i w:val="0"/>
                <w:color w:val="1B2A32"/>
                <w:sz w:val="17"/>
              </w:rPr>
              <w:t>Interim</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Coordinate s.9/s.17 / emergency-arbitrator relief</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F-C11 Interim application</w:t>
            </w:r>
          </w:p>
        </w:tc>
      </w:tr>
      <w:tr>
        <w:trPr>
          <w:trHeight w:val="0"/>
        </w:trPr>
        <w:tc>
          <w:tcPr>
            <w:tcW w:type="dxa" w:w="142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Hearings</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Convene &amp; log hearings; manage the s.29A clock; extensions</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Hearing log; F-C13 time extension</w:t>
            </w:r>
          </w:p>
        </w:tc>
      </w:tr>
      <w:tr>
        <w:trPr>
          <w:trHeight w:val="0"/>
        </w:trPr>
        <w:tc>
          <w:tcPr>
            <w:tcW w:type="dxa" w:w="1426"/>
            <w:tcMar>
              <w:top w:w="60" w:type="dxa"/>
              <w:bottom w:w="60" w:type="dxa"/>
              <w:start w:w="110" w:type="dxa"/>
              <w:end w:w="110" w:type="dxa"/>
            </w:tcMar>
          </w:tcPr>
          <w:p>
            <w:pPr>
              <w:spacing w:after="0"/>
              <w:jc w:val="left"/>
            </w:pPr>
            <w:r>
              <w:rPr>
                <w:rFonts w:ascii="Calibri" w:hAnsi="Calibri"/>
                <w:b w:val="0"/>
                <w:i w:val="0"/>
                <w:color w:val="1B2A32"/>
                <w:sz w:val="17"/>
              </w:rPr>
              <w:t>Award / settlement</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Support award issuance / draft MSA / consent award; escrow</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F-C12 Award/MSA; F-C15 Escrow</w:t>
            </w:r>
          </w:p>
        </w:tc>
      </w:tr>
      <w:tr>
        <w:trPr>
          <w:trHeight w:val="0"/>
        </w:trPr>
        <w:tc>
          <w:tcPr>
            <w:tcW w:type="dxa" w:w="142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Closure</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Enforcement/registration; repository; closure report</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F-C16 Enforcement checklist; F-C17 Closure</w:t>
            </w:r>
          </w:p>
        </w:tc>
      </w:tr>
    </w:tbl>
    <w:p>
      <w:pPr>
        <w:spacing w:after="80"/>
      </w:pPr>
    </w:p>
    <w:p>
      <w:pPr>
        <w:spacing w:before="20" w:after="200"/>
        <w:jc w:val="center"/>
      </w:pPr>
      <w:r>
        <w:rPr>
          <w:rFonts w:ascii="Calibri" w:hAnsi="Calibri"/>
          <w:b w:val="0"/>
          <w:i/>
          <w:color w:val="556168"/>
          <w:sz w:val="17"/>
        </w:rPr>
        <w:t>Table 4 — Case-manager / tribunal-secretary operating rhythm.</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The tribunal secretary must never influence the tribunal's decision or draft its reasoning — excessive delegation is a ground to challenge an award. The role is scheduling, documents, logistics and formatting only.</w:t>
            </w:r>
          </w:p>
        </w:tc>
      </w:tr>
    </w:tbl>
    <w:p>
      <w:pPr>
        <w:spacing w:after="120"/>
      </w:pPr>
    </w:p>
    <w:p>
      <w:pPr>
        <w:keepNext/>
        <w:spacing w:before="320" w:after="140"/>
        <w:pBdr>
          <w:bottom w:val="single" w:sz="12" w:space="3" w:color="C6A15B"/>
        </w:pBdr>
      </w:pPr>
      <w:r>
        <w:rPr>
          <w:rFonts w:ascii="Calibri" w:hAnsi="Calibri"/>
          <w:b/>
          <w:i w:val="0"/>
          <w:color w:val="123B4F"/>
          <w:sz w:val="34"/>
        </w:rPr>
        <w:t>21.  Time-Bound Procedure &amp; Service Levels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8"/>
              </w:rPr>
              <w:t>Milestone</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8"/>
              </w:rPr>
              <w:t>Target</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8"/>
              </w:rPr>
              <w:t>Basis</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Case registration after complete filing</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1–2 working days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Notice / constitution of tribunal</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 30 days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Equator SLA / party agreement</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First procedural hearing, ToR &amp; PO-1</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 21 days of constitution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Completion of pleadings</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Per PO-1 timetable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s.23 / PO-1</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Arbitral award</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Within 12 months of completion of pleadings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s.29A</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Extension by consent</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Up to a further 6 months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s.29A</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Fast-track award</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Within 6 months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s.29B</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Pre-institution mediation (s.12A)</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3 months (+2 by consent)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Commercial Courts Act s.12A</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MSME Samadhaan</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~90 days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MSMED Act s.18(5)</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Challenge to award</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3 months (+30 days)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s.34</w:t>
            </w:r>
          </w:p>
        </w:tc>
      </w:tr>
    </w:tbl>
    <w:p>
      <w:pPr>
        <w:spacing w:after="80"/>
      </w:pPr>
    </w:p>
    <w:p>
      <w:pPr>
        <w:spacing w:before="20" w:after="200"/>
        <w:jc w:val="center"/>
      </w:pPr>
      <w:r>
        <w:rPr>
          <w:rFonts w:ascii="Calibri" w:hAnsi="Calibri"/>
          <w:b w:val="0"/>
          <w:i/>
          <w:color w:val="556168"/>
          <w:sz w:val="17"/>
        </w:rPr>
        <w:t>Table 5 — Statutory limits and Equator service levels.</w:t>
      </w:r>
    </w:p>
    <w:p>
      <w:pPr>
        <w:spacing w:before="80" w:after="40"/>
        <w:jc w:val="center"/>
      </w:pPr>
      <w:r>
        <w:drawing>
          <wp:inline xmlns:a="http://schemas.openxmlformats.org/drawingml/2006/main" xmlns:pic="http://schemas.openxmlformats.org/drawingml/2006/picture">
            <wp:extent cx="5943600" cy="2380186"/>
            <wp:docPr id="8" name="Picture 8"/>
            <wp:cNvGraphicFramePr>
              <a:graphicFrameLocks noChangeAspect="1"/>
            </wp:cNvGraphicFramePr>
            <a:graphic>
              <a:graphicData uri="http://schemas.openxmlformats.org/drawingml/2006/picture">
                <pic:pic>
                  <pic:nvPicPr>
                    <pic:cNvPr id="0" name="cm10_timeline.png"/>
                    <pic:cNvPicPr/>
                  </pic:nvPicPr>
                  <pic:blipFill>
                    <a:blip r:embed="rId15"/>
                    <a:stretch>
                      <a:fillRect/>
                    </a:stretch>
                  </pic:blipFill>
                  <pic:spPr>
                    <a:xfrm>
                      <a:off x="0" y="0"/>
                      <a:ext cx="5943600" cy="2380186"/>
                    </a:xfrm>
                    <a:prstGeom prst="rect"/>
                  </pic:spPr>
                </pic:pic>
              </a:graphicData>
            </a:graphic>
          </wp:inline>
        </w:drawing>
      </w:r>
    </w:p>
    <w:p>
      <w:pPr>
        <w:spacing w:before="20" w:after="200"/>
        <w:jc w:val="center"/>
      </w:pPr>
      <w:r>
        <w:rPr>
          <w:rFonts w:ascii="Calibri" w:hAnsi="Calibri"/>
          <w:b w:val="0"/>
          <w:i/>
          <w:color w:val="556168"/>
          <w:sz w:val="17"/>
        </w:rPr>
        <w:t>Figure 8 — Indicative time-bound tracks across arbitration, s.12A mediation and MSME.</w:t>
      </w:r>
    </w:p>
    <w:p>
      <w:pPr>
        <w:keepNext/>
        <w:spacing w:before="320" w:after="140"/>
        <w:pBdr>
          <w:bottom w:val="single" w:sz="12" w:space="3" w:color="C6A15B"/>
        </w:pBdr>
      </w:pPr>
      <w:r>
        <w:rPr>
          <w:rFonts w:ascii="Calibri" w:hAnsi="Calibri"/>
          <w:b/>
          <w:i w:val="0"/>
          <w:color w:val="123B4F"/>
          <w:sz w:val="34"/>
        </w:rPr>
        <w:t>22.  Award, Settlement &amp; Consent Award</w:t>
      </w:r>
    </w:p>
    <w:p>
      <w:pPr>
        <w:spacing w:after="140"/>
        <w:jc w:val="both"/>
      </w:pPr>
      <w:r>
        <w:rPr>
          <w:rFonts w:ascii="Calibri" w:hAnsi="Calibri"/>
          <w:b w:val="0"/>
          <w:i w:val="0"/>
          <w:color w:val="1B2A32"/>
          <w:sz w:val="21"/>
        </w:rPr>
        <w:t xml:space="preserve">An arbitration ends in a reasoned </w:t>
      </w:r>
      <w:r>
        <w:rPr>
          <w:rFonts w:ascii="Calibri" w:hAnsi="Calibri"/>
          <w:b/>
          <w:i w:val="0"/>
          <w:color w:val="1B2A32"/>
          <w:sz w:val="21"/>
        </w:rPr>
        <w:t>award</w:t>
      </w:r>
      <w:r>
        <w:rPr>
          <w:rFonts w:ascii="Calibri" w:hAnsi="Calibri"/>
          <w:b w:val="0"/>
          <w:i w:val="0"/>
          <w:color w:val="1B2A32"/>
          <w:sz w:val="21"/>
        </w:rPr>
        <w:t xml:space="preserve"> (Section 31) — final, binding and enforceable as a decree. Where the parties </w:t>
      </w:r>
      <w:r>
        <w:rPr>
          <w:rFonts w:ascii="Calibri" w:hAnsi="Calibri"/>
          <w:b/>
          <w:i w:val="0"/>
          <w:color w:val="1B2A32"/>
          <w:sz w:val="21"/>
        </w:rPr>
        <w:t>settle during arbitration</w:t>
      </w:r>
      <w:r>
        <w:rPr>
          <w:rFonts w:ascii="Calibri" w:hAnsi="Calibri"/>
          <w:b w:val="0"/>
          <w:i w:val="0"/>
          <w:color w:val="1B2A32"/>
          <w:sz w:val="21"/>
        </w:rPr>
        <w:t xml:space="preserve">, the tribunal records the settlement as a </w:t>
      </w:r>
      <w:r>
        <w:rPr>
          <w:rFonts w:ascii="Calibri" w:hAnsi="Calibri"/>
          <w:b/>
          <w:i w:val="0"/>
          <w:color w:val="1B2A32"/>
          <w:sz w:val="21"/>
        </w:rPr>
        <w:t>consent award</w:t>
      </w:r>
      <w:r>
        <w:rPr>
          <w:rFonts w:ascii="Calibri" w:hAnsi="Calibri"/>
          <w:b w:val="0"/>
          <w:i w:val="0"/>
          <w:color w:val="1B2A32"/>
          <w:sz w:val="21"/>
        </w:rPr>
        <w:t xml:space="preserve"> (Section 30), which has the same status and enforceability as any other award — often the fastest, cleanest exit. A mediation ends in a </w:t>
      </w:r>
      <w:r>
        <w:rPr>
          <w:rFonts w:ascii="Calibri" w:hAnsi="Calibri"/>
          <w:b/>
          <w:i w:val="0"/>
          <w:color w:val="1B2A32"/>
          <w:sz w:val="21"/>
        </w:rPr>
        <w:t>Mediated Settlement Agreement</w:t>
      </w:r>
      <w:r>
        <w:rPr>
          <w:rFonts w:ascii="Calibri" w:hAnsi="Calibri"/>
          <w:b w:val="0"/>
          <w:i w:val="0"/>
          <w:color w:val="1B2A32"/>
          <w:sz w:val="21"/>
        </w:rPr>
        <w:t xml:space="preserve"> (enforceable as a decree under Section 27). Equator drafts to be enforcement-ready: clear operative directions, interest, costs, and e-execution.</w:t>
      </w:r>
    </w:p>
    <w:p>
      <w:pPr>
        <w:keepNext/>
        <w:spacing w:before="320" w:after="140"/>
        <w:pBdr>
          <w:bottom w:val="single" w:sz="12" w:space="3" w:color="C6A15B"/>
        </w:pBdr>
      </w:pPr>
      <w:r>
        <w:rPr>
          <w:rFonts w:ascii="Calibri" w:hAnsi="Calibri"/>
          <w:b/>
          <w:i w:val="0"/>
          <w:color w:val="123B4F"/>
          <w:sz w:val="34"/>
        </w:rPr>
        <w:t>23.  Enforcement Support</w:t>
      </w:r>
    </w:p>
    <w:p>
      <w:pPr>
        <w:spacing w:after="140"/>
        <w:jc w:val="both"/>
      </w:pPr>
      <w:r>
        <w:rPr>
          <w:rFonts w:ascii="Calibri" w:hAnsi="Calibri"/>
          <w:b w:val="0"/>
          <w:i w:val="0"/>
          <w:color w:val="1B2A32"/>
          <w:sz w:val="21"/>
        </w:rPr>
        <w:t xml:space="preserve">Equator supports the winning party to realise the outcome: guidance and templates for </w:t>
      </w:r>
      <w:r>
        <w:rPr>
          <w:rFonts w:ascii="Calibri" w:hAnsi="Calibri"/>
          <w:b/>
          <w:i w:val="0"/>
          <w:color w:val="1B2A32"/>
          <w:sz w:val="21"/>
        </w:rPr>
        <w:t>enforcement of a domestic award as a decree</w:t>
      </w:r>
      <w:r>
        <w:rPr>
          <w:rFonts w:ascii="Calibri" w:hAnsi="Calibri"/>
          <w:b w:val="0"/>
          <w:i w:val="0"/>
          <w:color w:val="1B2A32"/>
          <w:sz w:val="21"/>
        </w:rPr>
        <w:t xml:space="preserve"> (Section 36), for </w:t>
      </w:r>
      <w:r>
        <w:rPr>
          <w:rFonts w:ascii="Calibri" w:hAnsi="Calibri"/>
          <w:b/>
          <w:i w:val="0"/>
          <w:color w:val="1B2A32"/>
          <w:sz w:val="21"/>
        </w:rPr>
        <w:t>foreign-award enforcement</w:t>
      </w:r>
      <w:r>
        <w:rPr>
          <w:rFonts w:ascii="Calibri" w:hAnsi="Calibri"/>
          <w:b w:val="0"/>
          <w:i w:val="0"/>
          <w:color w:val="1B2A32"/>
          <w:sz w:val="21"/>
        </w:rPr>
        <w:t xml:space="preserve"> under the New York Convention (Part II), and for enforcing a </w:t>
      </w:r>
      <w:r>
        <w:rPr>
          <w:rFonts w:ascii="Calibri" w:hAnsi="Calibri"/>
          <w:b/>
          <w:i w:val="0"/>
          <w:color w:val="1B2A32"/>
          <w:sz w:val="21"/>
        </w:rPr>
        <w:t>mediated settlement</w:t>
      </w:r>
      <w:r>
        <w:rPr>
          <w:rFonts w:ascii="Calibri" w:hAnsi="Calibri"/>
          <w:b w:val="0"/>
          <w:i w:val="0"/>
          <w:color w:val="1B2A32"/>
          <w:sz w:val="21"/>
        </w:rPr>
        <w:t xml:space="preserve"> (Section 27); coordination of </w:t>
      </w:r>
      <w:r>
        <w:rPr>
          <w:rFonts w:ascii="Calibri" w:hAnsi="Calibri"/>
          <w:b/>
          <w:i w:val="0"/>
          <w:color w:val="1B2A32"/>
          <w:sz w:val="21"/>
        </w:rPr>
        <w:t>e-stamping and registration</w:t>
      </w:r>
      <w:r>
        <w:rPr>
          <w:rFonts w:ascii="Calibri" w:hAnsi="Calibri"/>
          <w:b w:val="0"/>
          <w:i w:val="0"/>
          <w:color w:val="1B2A32"/>
          <w:sz w:val="21"/>
        </w:rPr>
        <w:t xml:space="preserve">; and </w:t>
      </w:r>
      <w:r>
        <w:rPr>
          <w:rFonts w:ascii="Calibri" w:hAnsi="Calibri"/>
          <w:b/>
          <w:i w:val="0"/>
          <w:color w:val="1B2A32"/>
          <w:sz w:val="21"/>
        </w:rPr>
        <w:t>escrow release</w:t>
      </w:r>
      <w:r>
        <w:rPr>
          <w:rFonts w:ascii="Calibri" w:hAnsi="Calibri"/>
          <w:b w:val="0"/>
          <w:i w:val="0"/>
          <w:color w:val="1B2A32"/>
          <w:sz w:val="21"/>
        </w:rPr>
        <w:t xml:space="preserve"> on compliance. The platform tracks the Section 34 challenge window and flags any stay, and — for cross-border settlements — notes the Singapore Convention position.</w:t>
      </w:r>
    </w:p>
    <w:p>
      <w:pPr>
        <w:keepNext/>
        <w:spacing w:before="320" w:after="140"/>
        <w:pBdr>
          <w:bottom w:val="single" w:sz="12" w:space="3" w:color="C6A15B"/>
        </w:pBdr>
      </w:pPr>
      <w:r>
        <w:rPr>
          <w:rFonts w:ascii="Calibri" w:hAnsi="Calibri"/>
          <w:b/>
          <w:i w:val="0"/>
          <w:color w:val="123B4F"/>
          <w:sz w:val="34"/>
        </w:rPr>
        <w:t>24.  The Escrow Mechanism</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A neutral holding account for award and settlement money. The payer deposits; the escrow agent (a regulated bank) releases to the payee against defined conditions — so payment is secure and disputes about payment don't reopen the fight.</w:t>
            </w:r>
          </w:p>
        </w:tc>
      </w:tr>
    </w:tbl>
    <w:p>
      <w:pPr>
        <w:spacing w:after="120"/>
      </w:pPr>
    </w:p>
    <w:p>
      <w:pPr>
        <w:spacing w:after="140"/>
        <w:jc w:val="both"/>
      </w:pPr>
      <w:r>
        <w:rPr>
          <w:rFonts w:ascii="Calibri" w:hAnsi="Calibri"/>
          <w:b w:val="0"/>
          <w:i w:val="0"/>
          <w:color w:val="1B2A32"/>
          <w:sz w:val="21"/>
        </w:rPr>
        <w:t xml:space="preserve">Commercial outcomes frequently involve substantial sums, staged payments and performance conditions. Equator arranges a </w:t>
      </w:r>
      <w:r>
        <w:rPr>
          <w:rFonts w:ascii="Calibri" w:hAnsi="Calibri"/>
          <w:b/>
          <w:i w:val="0"/>
          <w:color w:val="1B2A32"/>
          <w:sz w:val="21"/>
        </w:rPr>
        <w:t>tripartite escrow</w:t>
      </w:r>
      <w:r>
        <w:rPr>
          <w:rFonts w:ascii="Calibri" w:hAnsi="Calibri"/>
          <w:b w:val="0"/>
          <w:i w:val="0"/>
          <w:color w:val="1B2A32"/>
          <w:sz w:val="21"/>
        </w:rPr>
        <w:t xml:space="preserve"> with a regulated bank as escrow agent, grounded in the Indian Contract Act (agency and bailment) and KYC/PMLA-compliant. The payer deposits the award/settlement sum (or instalments); release is </w:t>
      </w:r>
      <w:r>
        <w:rPr>
          <w:rFonts w:ascii="Calibri" w:hAnsi="Calibri"/>
          <w:b/>
          <w:i w:val="0"/>
          <w:color w:val="1B2A32"/>
          <w:sz w:val="21"/>
        </w:rPr>
        <w:t>conditional and staged</w:t>
      </w:r>
      <w:r>
        <w:rPr>
          <w:rFonts w:ascii="Calibri" w:hAnsi="Calibri"/>
          <w:b w:val="0"/>
          <w:i w:val="0"/>
          <w:color w:val="1B2A32"/>
          <w:sz w:val="21"/>
        </w:rPr>
        <w:t xml:space="preserve"> against milestones written into the award or MSA — for example, on lapse of the Section 34 window without a stay, on delivery/handover, or on completion of an agreed performance step — each receipted and audit-logged, with a defined fallback if a milestone is missed.</w:t>
      </w:r>
    </w:p>
    <w:p>
      <w:pPr>
        <w:spacing w:before="80" w:after="40"/>
        <w:jc w:val="center"/>
      </w:pPr>
      <w:r>
        <w:drawing>
          <wp:inline xmlns:a="http://schemas.openxmlformats.org/drawingml/2006/main" xmlns:pic="http://schemas.openxmlformats.org/drawingml/2006/picture">
            <wp:extent cx="4023360" cy="4023360"/>
            <wp:docPr id="9" name="Picture 9"/>
            <wp:cNvGraphicFramePr>
              <a:graphicFrameLocks noChangeAspect="1"/>
            </wp:cNvGraphicFramePr>
            <a:graphic>
              <a:graphicData uri="http://schemas.openxmlformats.org/drawingml/2006/picture">
                <pic:pic>
                  <pic:nvPicPr>
                    <pic:cNvPr id="0" name="cm07_escrow.png"/>
                    <pic:cNvPicPr/>
                  </pic:nvPicPr>
                  <pic:blipFill>
                    <a:blip r:embed="rId16"/>
                    <a:stretch>
                      <a:fillRect/>
                    </a:stretch>
                  </pic:blipFill>
                  <pic:spPr>
                    <a:xfrm>
                      <a:off x="0" y="0"/>
                      <a:ext cx="4023360" cy="4023360"/>
                    </a:xfrm>
                    <a:prstGeom prst="rect"/>
                  </pic:spPr>
                </pic:pic>
              </a:graphicData>
            </a:graphic>
          </wp:inline>
        </w:drawing>
      </w:r>
    </w:p>
    <w:p>
      <w:pPr>
        <w:spacing w:before="20" w:after="200"/>
        <w:jc w:val="center"/>
      </w:pPr>
      <w:r>
        <w:rPr>
          <w:rFonts w:ascii="Calibri" w:hAnsi="Calibri"/>
          <w:b w:val="0"/>
          <w:i/>
          <w:color w:val="556168"/>
          <w:sz w:val="17"/>
        </w:rPr>
        <w:t>Figure 9 — Escrow for award and settlement sums, released against compliance.</w:t>
      </w:r>
    </w:p>
    <w:p>
      <w:pPr>
        <w:keepNext/>
        <w:spacing w:before="320" w:after="140"/>
        <w:pBdr>
          <w:bottom w:val="single" w:sz="12" w:space="3" w:color="C6A15B"/>
        </w:pBdr>
      </w:pPr>
      <w:r>
        <w:rPr>
          <w:rFonts w:ascii="Calibri" w:hAnsi="Calibri"/>
          <w:b/>
          <w:i w:val="0"/>
          <w:color w:val="123B4F"/>
          <w:sz w:val="34"/>
        </w:rPr>
        <w:t>25.  Permutations &amp; Scenarios — the If / Then Logic</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7"/>
              </w:rPr>
              <w:t>If this circumstance…</w:t>
            </w:r>
          </w:p>
        </w:tc>
        <w:tc>
          <w:tcPr>
            <w:tcW w:type="dxa" w:w="5892"/>
            <w:shd w:val="clear" w:color="auto" w:fill="123B4F"/>
            <w:tcMar>
              <w:top w:w="60" w:type="dxa"/>
              <w:bottom w:w="60" w:type="dxa"/>
              <w:start w:w="110" w:type="dxa"/>
              <w:end w:w="110" w:type="dxa"/>
            </w:tcMar>
          </w:tcPr>
          <w:p>
            <w:pPr>
              <w:spacing w:after="0"/>
            </w:pPr>
            <w:r>
              <w:rPr>
                <w:rFonts w:ascii="Calibri" w:hAnsi="Calibri"/>
                <w:b/>
                <w:i w:val="0"/>
                <w:color w:val="FFFFFF"/>
                <w:sz w:val="17"/>
              </w:rPr>
              <w:t>…then Equator does this</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There is a valid arbitration clause</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Route to arbitration; constitute the tribunal; run disclosure/conflict checks.</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 clause, commercial suit of specified value</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Route to mandatory s.12A pre-institution mediation before any suit.</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A micro/small supplier chasing payment</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Route to MSME Samadhaan (conciliation then arbitration); compute s.16 interest.</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Subject-matter is non-arbitrable (insolvency, oppression)</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Do not arbitrate; mediate the commercial layer where possible; route statutory remedy to NCLT/court.</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Urgent relief needed before the tribunal exists</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Offer emergency-arbitrator relief and/or a s.9 court application; expedite.</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Mediation fails</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Proceed to arbitration (med-arb) or issue a non-settlement/s.12A report enabling suit.</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Party won't participate / no response</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Proceed per the Rules (default participation) or issue the appropriate report; preserve remedies.</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Foreign party / foreign seat</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Apply institutional international rules; plan New York Convention enforcement; video hearings.</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Settlement reached mid-arbitration</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Record a consent award (s.30) — fastest enforceable exit.</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Award challenged (s.34)</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Track the challenge; hold escrow; no automatic stay of enforcement.</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Multi-contract / multi-party dispute</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Consolidation / joinder per the Rules; single case management.</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Confidential / trade-secret evidence</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Confidentiality ring; restricted access; protective order.</w:t>
            </w:r>
          </w:p>
        </w:tc>
      </w:tr>
    </w:tbl>
    <w:p>
      <w:pPr>
        <w:spacing w:after="80"/>
      </w:pPr>
    </w:p>
    <w:p>
      <w:pPr>
        <w:spacing w:before="20" w:after="200"/>
        <w:jc w:val="center"/>
      </w:pPr>
      <w:r>
        <w:rPr>
          <w:rFonts w:ascii="Calibri" w:hAnsi="Calibri"/>
          <w:b w:val="0"/>
          <w:i/>
          <w:color w:val="556168"/>
          <w:sz w:val="17"/>
        </w:rPr>
        <w:t>Table 6 — Principal branch conditions and Equator's programmed response.</w:t>
      </w:r>
    </w:p>
    <w:p>
      <w:r>
        <w:br w:type="page"/>
      </w:r>
    </w:p>
    <w:p>
      <w:pPr>
        <w:spacing w:before="600" w:after="40"/>
      </w:pPr>
      <w:r>
        <w:rPr>
          <w:rFonts w:ascii="Calibri" w:hAnsi="Calibri"/>
          <w:b/>
          <w:i w:val="0"/>
          <w:color w:val="C6A15B"/>
          <w:sz w:val="26"/>
        </w:rPr>
        <w:t>PART D</w:t>
      </w:r>
    </w:p>
    <w:p>
      <w:pPr>
        <w:spacing w:after="200"/>
        <w:pBdr>
          <w:bottom w:val="single" w:sz="18" w:space="3" w:color="1E7A8C"/>
        </w:pBdr>
      </w:pPr>
      <w:r>
        <w:rPr>
          <w:rFonts w:ascii="Calibri" w:hAnsi="Calibri"/>
          <w:b/>
          <w:i w:val="0"/>
          <w:color w:val="123B4F"/>
          <w:sz w:val="46"/>
        </w:rPr>
        <w:t>Governance, Commercials &amp; Operations</w:t>
      </w:r>
    </w:p>
    <w:p>
      <w:pPr>
        <w:keepNext/>
        <w:spacing w:before="320" w:after="140"/>
        <w:pBdr>
          <w:bottom w:val="single" w:sz="12" w:space="3" w:color="C6A15B"/>
        </w:pBdr>
      </w:pPr>
      <w:r>
        <w:rPr>
          <w:rFonts w:ascii="Calibri" w:hAnsi="Calibri"/>
          <w:b/>
          <w:i w:val="0"/>
          <w:color w:val="123B4F"/>
          <w:sz w:val="34"/>
        </w:rPr>
        <w:t>26.  Forms Register</w:t>
      </w:r>
    </w:p>
    <w:p>
      <w:pPr>
        <w:spacing w:after="140"/>
        <w:jc w:val="both"/>
      </w:pPr>
      <w:r>
        <w:rPr>
          <w:rFonts w:ascii="Calibri" w:hAnsi="Calibri"/>
          <w:b w:val="0"/>
          <w:i w:val="0"/>
          <w:color w:val="1B2A32"/>
          <w:sz w:val="21"/>
        </w:rPr>
        <w:t xml:space="preserve">All commercial forms are reproduced in full in </w:t>
      </w:r>
      <w:r>
        <w:rPr>
          <w:rFonts w:ascii="Calibri" w:hAnsi="Calibri"/>
          <w:b/>
          <w:i w:val="0"/>
          <w:color w:val="1B2A32"/>
          <w:sz w:val="21"/>
        </w:rPr>
        <w:t>Part H</w:t>
      </w:r>
      <w:r>
        <w:rPr>
          <w:rFonts w:ascii="Calibri" w:hAnsi="Calibri"/>
          <w:b w:val="0"/>
          <w:i w:val="0"/>
          <w:color w:val="1B2A32"/>
          <w:sz w:val="21"/>
        </w:rPr>
        <w:t xml:space="preserve"> and delivered as individual documents in the archived Forms Pack folder. The Developer Workbook carries the field-level schema for each.</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7"/>
              </w:rPr>
              <w:t>Ref</w:t>
            </w:r>
          </w:p>
        </w:tc>
        <w:tc>
          <w:tcPr>
            <w:tcW w:type="dxa" w:w="5702"/>
            <w:shd w:val="clear" w:color="auto" w:fill="123B4F"/>
            <w:tcMar>
              <w:top w:w="60" w:type="dxa"/>
              <w:bottom w:w="60" w:type="dxa"/>
              <w:start w:w="110" w:type="dxa"/>
              <w:end w:w="110" w:type="dxa"/>
            </w:tcMar>
          </w:tcPr>
          <w:p>
            <w:pPr>
              <w:spacing w:after="0"/>
            </w:pPr>
            <w:r>
              <w:rPr>
                <w:rFonts w:ascii="Calibri" w:hAnsi="Calibri"/>
                <w:b/>
                <w:i w:val="0"/>
                <w:color w:val="FFFFFF"/>
                <w:sz w:val="17"/>
              </w:rPr>
              <w:t>Form</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Used at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F-C01</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Onboarding, KYB/KYC &amp; DPDP Consent</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Registration</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F-C02</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Request for Arbitration</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Commencement (arbitration)</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F-C03</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Response to Request for Arbitration (+ counterclaim)</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Response</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F-C04</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Request for Mediation / s.12A Pre-Institution Mediation Application</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Commencement (mediation)</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F-C05</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Nomination &amp; Appointment of Arbitrator</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Constitution</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F-C06</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Arbitrator's Disclosure &amp; Statement of Independence (s.12)</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Constitution</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F-C07</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Terms of Reference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Case setup</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F-C08</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Procedural Order No. 1</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Case setup</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F-C09</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Statement of Claim</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Pleadings</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F-C10</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Statement of Defence &amp; Counterclaim</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Pleadings</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F-C11</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Application for Interim Measures (s.9 / s.17 / emergency)</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Interim</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F-C12</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Consent Award / Mediated Settlement Agreement</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Settlement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F-C13</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Application for Time Extension (s.29A)</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Sessions/hearings</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F-C14</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MSME Samadhaan Reference</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MSME route</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F-C15</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Escrow Instruction &amp; Release Schedule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Settlement/award</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F-C16</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Enforcement Checklist (s.36 / Part II)</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Closure</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F-C17</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Case Closure / Award Transmittal</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Closure</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F-C18</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Agreement to Mediate &amp; Confidentiality (commercial)</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Pre-mediation</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7"/>
              </w:rPr>
              <w:t>F-C19</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Costs &amp; Fee Statement</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Billing</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F-C20</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Model Arbitration &amp; ADR Clause (for contracts)</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Clause insertion</w:t>
            </w:r>
          </w:p>
        </w:tc>
      </w:tr>
    </w:tbl>
    <w:p>
      <w:pPr>
        <w:spacing w:after="80"/>
      </w:pPr>
    </w:p>
    <w:p>
      <w:pPr>
        <w:spacing w:before="20" w:after="200"/>
        <w:jc w:val="center"/>
      </w:pPr>
      <w:r>
        <w:rPr>
          <w:rFonts w:ascii="Calibri" w:hAnsi="Calibri"/>
          <w:b w:val="0"/>
          <w:i/>
          <w:color w:val="556168"/>
          <w:sz w:val="17"/>
        </w:rPr>
        <w:t>Table 7 — Commercial forms register (full text in Part H; schema in the Developer Workbook).</w:t>
      </w:r>
    </w:p>
    <w:p>
      <w:pPr>
        <w:keepNext/>
        <w:spacing w:before="320" w:after="140"/>
        <w:pBdr>
          <w:bottom w:val="single" w:sz="12" w:space="3" w:color="C6A15B"/>
        </w:pBdr>
      </w:pPr>
      <w:r>
        <w:rPr>
          <w:rFonts w:ascii="Calibri" w:hAnsi="Calibri"/>
          <w:b/>
          <w:i w:val="0"/>
          <w:color w:val="123B4F"/>
          <w:sz w:val="34"/>
        </w:rPr>
        <w:t>27.  Fees &amp; Commercials</w:t>
      </w:r>
    </w:p>
    <w:p>
      <w:pPr>
        <w:spacing w:after="140"/>
        <w:jc w:val="both"/>
      </w:pPr>
      <w:r>
        <w:rPr>
          <w:rFonts w:ascii="Calibri" w:hAnsi="Calibri"/>
          <w:b w:val="0"/>
          <w:i w:val="0"/>
          <w:color w:val="1B2A32"/>
          <w:sz w:val="21"/>
        </w:rPr>
        <w:t xml:space="preserve">Commercial ADR fees are typically </w:t>
      </w:r>
      <w:r>
        <w:rPr>
          <w:rFonts w:ascii="Calibri" w:hAnsi="Calibri"/>
          <w:b/>
          <w:i w:val="0"/>
          <w:color w:val="1B2A32"/>
          <w:sz w:val="21"/>
        </w:rPr>
        <w:t>ad valorem</w:t>
      </w:r>
      <w:r>
        <w:rPr>
          <w:rFonts w:ascii="Calibri" w:hAnsi="Calibri"/>
          <w:b w:val="0"/>
          <w:i w:val="0"/>
          <w:color w:val="1B2A32"/>
          <w:sz w:val="21"/>
        </w:rPr>
        <w:t xml:space="preserve"> — scaled to the amount in dispute — plus a registration/administration fee and the neutral's fee (which for arbitration may follow the Fourth Schedule to the Arbitration Act or the institution's schedule). Equator publishes a transparent tariff with bands by claim value, sole vs three-member tribunal, fast-track discounts, and an escrow-handling fee. A </w:t>
      </w:r>
      <w:r>
        <w:rPr>
          <w:rFonts w:ascii="Calibri" w:hAnsi="Calibri"/>
          <w:b/>
          <w:i w:val="0"/>
          <w:color w:val="1B2A32"/>
          <w:sz w:val="21"/>
        </w:rPr>
        <w:t>claim-value fee calculator</w:t>
      </w:r>
      <w:r>
        <w:rPr>
          <w:rFonts w:ascii="Calibri" w:hAnsi="Calibri"/>
          <w:b w:val="0"/>
          <w:i w:val="0"/>
          <w:color w:val="1B2A32"/>
          <w:sz w:val="21"/>
        </w:rPr>
        <w:t xml:space="preserve"> (companion tool) gives parties an instant estimate.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Component</w:t>
            </w:r>
          </w:p>
        </w:tc>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7"/>
              </w:rPr>
              <w:t>Basis</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Indicative</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Registration / filing fee</w:t>
            </w:r>
          </w:p>
        </w:tc>
        <w:tc>
          <w:tcPr>
            <w:tcW w:type="dxa" w:w="4372"/>
            <w:tcMar>
              <w:top w:w="60" w:type="dxa"/>
              <w:bottom w:w="60" w:type="dxa"/>
              <w:start w:w="110" w:type="dxa"/>
              <w:end w:w="110" w:type="dxa"/>
            </w:tcMar>
          </w:tcPr>
          <w:p>
            <w:pPr>
              <w:spacing w:after="0"/>
              <w:jc w:val="left"/>
            </w:pPr>
            <w:r>
              <w:rPr>
                <w:rFonts w:ascii="Calibri" w:hAnsi="Calibri"/>
                <w:b w:val="0"/>
                <w:i w:val="0"/>
                <w:color w:val="1B2A32"/>
                <w:sz w:val="17"/>
              </w:rPr>
              <w:t>One-time, per case</w:t>
            </w:r>
          </w:p>
        </w:tc>
        <w:tc>
          <w:tcPr>
            <w:tcW w:type="dxa" w:w="1901"/>
            <w:tcMar>
              <w:top w:w="60" w:type="dxa"/>
              <w:bottom w:w="60" w:type="dxa"/>
              <w:start w:w="110" w:type="dxa"/>
              <w:end w:w="110" w:type="dxa"/>
            </w:tcMar>
          </w:tcPr>
          <w:p>
            <w:pPr>
              <w:spacing w:after="0"/>
              <w:jc w:val="left"/>
            </w:pPr>
            <w:r>
              <w:rPr>
                <w:rFonts w:ascii="Calibri" w:hAnsi="Calibri"/>
                <w:b w:val="0"/>
                <w:i w:val="0"/>
                <w:color w:val="1B2A32"/>
                <w:sz w:val="17"/>
              </w:rPr>
              <w:t>Flat by band</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Administration fee</w:t>
            </w:r>
          </w:p>
        </w:tc>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of claim value (ad valorem), banded</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Per tariff</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Arbitrator fee</w:t>
            </w:r>
          </w:p>
        </w:tc>
        <w:tc>
          <w:tcPr>
            <w:tcW w:type="dxa" w:w="4372"/>
            <w:tcMar>
              <w:top w:w="60" w:type="dxa"/>
              <w:bottom w:w="60" w:type="dxa"/>
              <w:start w:w="110" w:type="dxa"/>
              <w:end w:w="110" w:type="dxa"/>
            </w:tcMar>
          </w:tcPr>
          <w:p>
            <w:pPr>
              <w:spacing w:after="0"/>
              <w:jc w:val="left"/>
            </w:pPr>
            <w:r>
              <w:rPr>
                <w:rFonts w:ascii="Calibri" w:hAnsi="Calibri"/>
                <w:b w:val="0"/>
                <w:i w:val="0"/>
                <w:color w:val="1B2A32"/>
                <w:sz w:val="17"/>
              </w:rPr>
              <w:t>Per Fourth Schedule / institutional schedule; sole vs panel</w:t>
            </w:r>
          </w:p>
        </w:tc>
        <w:tc>
          <w:tcPr>
            <w:tcW w:type="dxa" w:w="1901"/>
            <w:tcMar>
              <w:top w:w="60" w:type="dxa"/>
              <w:bottom w:w="60" w:type="dxa"/>
              <w:start w:w="110" w:type="dxa"/>
              <w:end w:w="110" w:type="dxa"/>
            </w:tcMar>
          </w:tcPr>
          <w:p>
            <w:pPr>
              <w:spacing w:after="0"/>
              <w:jc w:val="left"/>
            </w:pPr>
            <w:r>
              <w:rPr>
                <w:rFonts w:ascii="Calibri" w:hAnsi="Calibri"/>
                <w:b w:val="0"/>
                <w:i w:val="0"/>
                <w:color w:val="1B2A32"/>
                <w:sz w:val="17"/>
              </w:rPr>
              <w:t>Ad valorem</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Mediator fee</w:t>
            </w:r>
          </w:p>
        </w:tc>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Per session / by grade</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Per schedule</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Emergency-arbitrator fee</w:t>
            </w:r>
          </w:p>
        </w:tc>
        <w:tc>
          <w:tcPr>
            <w:tcW w:type="dxa" w:w="4372"/>
            <w:tcMar>
              <w:top w:w="60" w:type="dxa"/>
              <w:bottom w:w="60" w:type="dxa"/>
              <w:start w:w="110" w:type="dxa"/>
              <w:end w:w="110" w:type="dxa"/>
            </w:tcMar>
          </w:tcPr>
          <w:p>
            <w:pPr>
              <w:spacing w:after="0"/>
              <w:jc w:val="left"/>
            </w:pPr>
            <w:r>
              <w:rPr>
                <w:rFonts w:ascii="Calibri" w:hAnsi="Calibri"/>
                <w:b w:val="0"/>
                <w:i w:val="0"/>
                <w:color w:val="1B2A32"/>
                <w:sz w:val="17"/>
              </w:rPr>
              <w:t>Fixed, expedited</w:t>
            </w:r>
          </w:p>
        </w:tc>
        <w:tc>
          <w:tcPr>
            <w:tcW w:type="dxa" w:w="1901"/>
            <w:tcMar>
              <w:top w:w="60" w:type="dxa"/>
              <w:bottom w:w="60" w:type="dxa"/>
              <w:start w:w="110" w:type="dxa"/>
              <w:end w:w="110" w:type="dxa"/>
            </w:tcMar>
          </w:tcPr>
          <w:p>
            <w:pPr>
              <w:spacing w:after="0"/>
              <w:jc w:val="left"/>
            </w:pPr>
            <w:r>
              <w:rPr>
                <w:rFonts w:ascii="Calibri" w:hAnsi="Calibri"/>
                <w:b w:val="0"/>
                <w:i w:val="0"/>
                <w:color w:val="1B2A32"/>
                <w:sz w:val="17"/>
              </w:rPr>
              <w:t>Per schedule</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handling</w:t>
            </w:r>
          </w:p>
        </w:tc>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of amount held / flat</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Per bank tariff</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Fast-track discount</w:t>
            </w:r>
          </w:p>
        </w:tc>
        <w:tc>
          <w:tcPr>
            <w:tcW w:type="dxa" w:w="4372"/>
            <w:tcMar>
              <w:top w:w="60" w:type="dxa"/>
              <w:bottom w:w="60" w:type="dxa"/>
              <w:start w:w="110" w:type="dxa"/>
              <w:end w:w="110" w:type="dxa"/>
            </w:tcMar>
          </w:tcPr>
          <w:p>
            <w:pPr>
              <w:spacing w:after="0"/>
              <w:jc w:val="left"/>
            </w:pPr>
            <w:r>
              <w:rPr>
                <w:rFonts w:ascii="Calibri" w:hAnsi="Calibri"/>
                <w:b w:val="0"/>
                <w:i w:val="0"/>
                <w:color w:val="1B2A32"/>
                <w:sz w:val="17"/>
              </w:rPr>
              <w:t>Reduced where s.29B / expedited chosen</w:t>
            </w:r>
          </w:p>
        </w:tc>
        <w:tc>
          <w:tcPr>
            <w:tcW w:type="dxa" w:w="1901"/>
            <w:tcMar>
              <w:top w:w="60" w:type="dxa"/>
              <w:bottom w:w="60" w:type="dxa"/>
              <w:start w:w="110" w:type="dxa"/>
              <w:end w:w="110" w:type="dxa"/>
            </w:tcMar>
          </w:tcPr>
          <w:p>
            <w:pPr>
              <w:spacing w:after="0"/>
              <w:jc w:val="left"/>
            </w:pPr>
            <w:r>
              <w:rPr>
                <w:rFonts w:ascii="Calibri" w:hAnsi="Calibri"/>
                <w:b w:val="0"/>
                <w:i w:val="0"/>
                <w:color w:val="1B2A32"/>
                <w:sz w:val="17"/>
              </w:rPr>
              <w:t>Per tariff</w:t>
            </w:r>
          </w:p>
        </w:tc>
      </w:tr>
    </w:tbl>
    <w:p>
      <w:pPr>
        <w:spacing w:after="80"/>
      </w:pPr>
    </w:p>
    <w:p>
      <w:pPr>
        <w:spacing w:before="20" w:after="200"/>
        <w:jc w:val="center"/>
      </w:pPr>
      <w:r>
        <w:rPr>
          <w:rFonts w:ascii="Calibri" w:hAnsi="Calibri"/>
          <w:b w:val="0"/>
          <w:i/>
          <w:color w:val="556168"/>
          <w:sz w:val="17"/>
        </w:rPr>
        <w:t>Table 8 — Fee architecture (confirm against Equator's published tariff and the Fourth Schedule).</w:t>
      </w:r>
    </w:p>
    <w:p>
      <w:pPr>
        <w:keepNext/>
        <w:spacing w:before="320" w:after="140"/>
        <w:pBdr>
          <w:bottom w:val="single" w:sz="12" w:space="3" w:color="C6A15B"/>
        </w:pBdr>
      </w:pPr>
      <w:r>
        <w:rPr>
          <w:rFonts w:ascii="Calibri" w:hAnsi="Calibri"/>
          <w:b/>
          <w:i w:val="0"/>
          <w:color w:val="123B4F"/>
          <w:sz w:val="34"/>
        </w:rPr>
        <w:t>28.  Risk, Ethics &amp; Compliance Register</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Risk</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Impact</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7"/>
              </w:rPr>
              <w:t>Mitigation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Arbitrator bias / non-disclosure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Award set aside (s.34); reputational</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Rigorous s.12 disclosure; Fifth/Seventh Schedule checks; conflict tooling</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Excessive tribunal-secretary delegation</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Challenge to award</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Secretary strictly administrative; tribunal decides &amp; drafts</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Arbitrating a non-arbitrable dispute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Void proceedings</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Vidya Drolia triage at intake; route to NCLT/court</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Missing s.12A / MSME steps</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Plaint rejected / jurisdiction lost</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Mechanism triage; certificates; workflow gates</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Breach of confidentiality</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Loss of trust; commercial harm</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Confidentiality rings; RBAC; NDAs; audit logs</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Data breach (commercial data)</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DPDP penalties; harm</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Encryption, access control, breach protocol, minimisation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Escrow funds mishandled</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Financial loss; disputes</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Regulated agent; KYC/PMLA; conditional release; audit</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AI error / disguised advice</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Harm; UPL exposure</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Guardrails; human-in-the-loop; information not advice</w:t>
            </w:r>
          </w:p>
        </w:tc>
      </w:tr>
    </w:tbl>
    <w:p>
      <w:pPr>
        <w:spacing w:after="80"/>
      </w:pPr>
    </w:p>
    <w:p>
      <w:pPr>
        <w:spacing w:before="20" w:after="200"/>
        <w:jc w:val="center"/>
      </w:pPr>
      <w:r>
        <w:rPr>
          <w:rFonts w:ascii="Calibri" w:hAnsi="Calibri"/>
          <w:b w:val="0"/>
          <w:i/>
          <w:color w:val="556168"/>
          <w:sz w:val="17"/>
        </w:rPr>
        <w:t>Table 9 — Principal risks and controls.</w:t>
      </w:r>
    </w:p>
    <w:p>
      <w:pPr>
        <w:keepNext/>
        <w:spacing w:before="320" w:after="140"/>
        <w:pBdr>
          <w:bottom w:val="single" w:sz="12" w:space="3" w:color="C6A15B"/>
        </w:pBdr>
      </w:pPr>
      <w:r>
        <w:rPr>
          <w:rFonts w:ascii="Calibri" w:hAnsi="Calibri"/>
          <w:b/>
          <w:i w:val="0"/>
          <w:color w:val="123B4F"/>
          <w:sz w:val="34"/>
        </w:rPr>
        <w:t>29.  Implementation Roadmap</w:t>
      </w:r>
    </w:p>
    <w:p>
      <w:pPr>
        <w:pStyle w:val="ListNumber"/>
        <w:spacing w:after="60"/>
        <w:jc w:val="both"/>
      </w:pPr>
      <w:r>
        <w:rPr>
          <w:rFonts w:ascii="Calibri" w:hAnsi="Calibri"/>
          <w:b/>
          <w:i w:val="0"/>
          <w:color w:val="1B2A32"/>
          <w:sz w:val="21"/>
        </w:rPr>
        <w:t>Phase 1 (Months 1–3):</w:t>
      </w:r>
      <w:r>
        <w:rPr>
          <w:rFonts w:ascii="Calibri" w:hAnsi="Calibri"/>
          <w:b w:val="0"/>
          <w:i w:val="0"/>
          <w:color w:val="1B2A32"/>
          <w:sz w:val="21"/>
        </w:rPr>
        <w:t xml:space="preserve"> publish Rules of Arbitration, Mediation Rules &amp; fee schedule; stand up intake, triage, KYB and case management; empanel the first arbitrator &amp; mediator cohort with conflict tooling; deploy the Forms Pack.</w:t>
      </w:r>
    </w:p>
    <w:p>
      <w:pPr>
        <w:pStyle w:val="ListNumber"/>
        <w:spacing w:after="60"/>
        <w:jc w:val="both"/>
      </w:pPr>
      <w:r>
        <w:rPr>
          <w:rFonts w:ascii="Calibri" w:hAnsi="Calibri"/>
          <w:b/>
          <w:i w:val="0"/>
          <w:color w:val="1B2A32"/>
          <w:sz w:val="21"/>
        </w:rPr>
        <w:t>Phase 2 (Months 3–5):</w:t>
      </w:r>
      <w:r>
        <w:rPr>
          <w:rFonts w:ascii="Calibri" w:hAnsi="Calibri"/>
          <w:b w:val="0"/>
          <w:i w:val="0"/>
          <w:color w:val="1B2A32"/>
          <w:sz w:val="21"/>
        </w:rPr>
        <w:t xml:space="preserve"> escrow integration; emergency-arbitrator &amp; interim-relief track; MSME Samadhaan workflow; e-Sign/e-Stamp; supervised pilot cases.</w:t>
      </w:r>
    </w:p>
    <w:p>
      <w:pPr>
        <w:pStyle w:val="ListNumber"/>
        <w:spacing w:after="60"/>
        <w:jc w:val="both"/>
      </w:pPr>
      <w:r>
        <w:rPr>
          <w:rFonts w:ascii="Calibri" w:hAnsi="Calibri"/>
          <w:b/>
          <w:i w:val="0"/>
          <w:color w:val="1B2A32"/>
          <w:sz w:val="21"/>
        </w:rPr>
        <w:t>Phase 3 (Months 5–8):</w:t>
      </w:r>
      <w:r>
        <w:rPr>
          <w:rFonts w:ascii="Calibri" w:hAnsi="Calibri"/>
          <w:b w:val="0"/>
          <w:i w:val="0"/>
          <w:color w:val="1B2A32"/>
          <w:sz w:val="21"/>
        </w:rPr>
        <w:t xml:space="preserve"> court/tribunal referral (s.12A authorities, s.11/s.8) alignment; Arbitration Council of India grading readiness; institutional-partner clause-insertion programme (loans, MSAs, procurement).</w:t>
      </w:r>
    </w:p>
    <w:p>
      <w:pPr>
        <w:pStyle w:val="ListNumber"/>
        <w:spacing w:after="60"/>
        <w:jc w:val="both"/>
      </w:pPr>
      <w:r>
        <w:rPr>
          <w:rFonts w:ascii="Calibri" w:hAnsi="Calibri"/>
          <w:b/>
          <w:i w:val="0"/>
          <w:color w:val="1B2A32"/>
          <w:sz w:val="21"/>
        </w:rPr>
        <w:t>Phase 4 (Months 8–12):</w:t>
      </w:r>
      <w:r>
        <w:rPr>
          <w:rFonts w:ascii="Calibri" w:hAnsi="Calibri"/>
          <w:b w:val="0"/>
          <w:i w:val="0"/>
          <w:color w:val="1B2A32"/>
          <w:sz w:val="21"/>
        </w:rPr>
        <w:t xml:space="preserve"> scale the panel and sectors; international/cross-border arbitration; publish anonymised outcome data and a rules commentary.</w:t>
      </w:r>
    </w:p>
    <w:p>
      <w:pPr>
        <w:spacing w:after="40"/>
      </w:pPr>
    </w:p>
    <w:p>
      <w:pPr>
        <w:keepNext/>
        <w:spacing w:before="320" w:after="140"/>
        <w:pBdr>
          <w:bottom w:val="single" w:sz="12" w:space="3" w:color="C6A15B"/>
        </w:pBdr>
      </w:pPr>
      <w:r>
        <w:rPr>
          <w:rFonts w:ascii="Calibri" w:hAnsi="Calibri"/>
          <w:b/>
          <w:i w:val="0"/>
          <w:color w:val="123B4F"/>
          <w:sz w:val="34"/>
        </w:rPr>
        <w:t>30.  Key Performance Indicators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KPI</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7"/>
              </w:rPr>
              <w:t>Definition</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Target (Year 1)</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Time to constitution</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Filing → tribunal constituted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 30 days (median)</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Cycle time (arbitration)</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Pleadings complete → award</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12 months</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Cycle time (mediation/s.12A)</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Filing → MSA / report</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 90 days</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Settlement rate (mediation)</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Settled ÷ commenced</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50%</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Award challenge rate (s.34)</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Awards challenged ÷ rendered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 10%</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Set-aside rate</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Awards set aside ÷ challenged</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15%</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Enforcement success</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Awards/MSAs enforced or complied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 90%</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reliability</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Releases executed to schedule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99%</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Time-limit compliance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Awards within s.29A</w:t>
            </w:r>
          </w:p>
        </w:tc>
        <w:tc>
          <w:tcPr>
            <w:tcW w:type="dxa" w:w="2471"/>
            <w:tcMar>
              <w:top w:w="60" w:type="dxa"/>
              <w:bottom w:w="60" w:type="dxa"/>
              <w:start w:w="110" w:type="dxa"/>
              <w:end w:w="110" w:type="dxa"/>
            </w:tcMar>
          </w:tcPr>
          <w:p>
            <w:pPr>
              <w:spacing w:after="0"/>
              <w:jc w:val="left"/>
            </w:pPr>
            <w:r>
              <w:rPr>
                <w:rFonts w:ascii="Calibri" w:hAnsi="Calibri"/>
                <w:b w:val="0"/>
                <w:i w:val="0"/>
                <w:color w:val="1B2A32"/>
                <w:sz w:val="17"/>
              </w:rPr>
              <w:t>100%</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Party satisfaction</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Post-case CSAT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 4.3 / 5</w:t>
            </w:r>
          </w:p>
        </w:tc>
      </w:tr>
    </w:tbl>
    <w:p>
      <w:pPr>
        <w:spacing w:after="80"/>
      </w:pPr>
    </w:p>
    <w:p>
      <w:pPr>
        <w:spacing w:before="20" w:after="200"/>
        <w:jc w:val="center"/>
      </w:pPr>
      <w:r>
        <w:rPr>
          <w:rFonts w:ascii="Calibri" w:hAnsi="Calibri"/>
          <w:b w:val="0"/>
          <w:i/>
          <w:color w:val="556168"/>
          <w:sz w:val="17"/>
        </w:rPr>
        <w:t>Table 10 — Commercial-vertical KPIs.</w:t>
      </w:r>
    </w:p>
    <w:p>
      <w:r>
        <w:br w:type="page"/>
      </w:r>
    </w:p>
    <w:p>
      <w:pPr>
        <w:spacing w:before="600" w:after="40"/>
      </w:pPr>
      <w:r>
        <w:rPr>
          <w:rFonts w:ascii="Calibri" w:hAnsi="Calibri"/>
          <w:b/>
          <w:i w:val="0"/>
          <w:color w:val="C6A15B"/>
          <w:sz w:val="26"/>
        </w:rPr>
        <w:t>PART E</w:t>
      </w:r>
    </w:p>
    <w:p>
      <w:pPr>
        <w:spacing w:after="200"/>
        <w:pBdr>
          <w:bottom w:val="single" w:sz="18" w:space="3" w:color="1E7A8C"/>
        </w:pBdr>
      </w:pPr>
      <w:r>
        <w:rPr>
          <w:rFonts w:ascii="Calibri" w:hAnsi="Calibri"/>
          <w:b/>
          <w:i w:val="0"/>
          <w:color w:val="123B4F"/>
          <w:sz w:val="46"/>
        </w:rPr>
        <w:t>Strengthening Resolution &amp; Global Best Practice</w:t>
      </w:r>
    </w:p>
    <w:p>
      <w:pPr>
        <w:keepNext/>
        <w:spacing w:before="320" w:after="140"/>
        <w:pBdr>
          <w:bottom w:val="single" w:sz="12" w:space="3" w:color="C6A15B"/>
        </w:pBdr>
      </w:pPr>
      <w:r>
        <w:rPr>
          <w:rFonts w:ascii="Calibri" w:hAnsi="Calibri"/>
          <w:b/>
          <w:i w:val="0"/>
          <w:color w:val="123B4F"/>
          <w:sz w:val="34"/>
        </w:rPr>
        <w:t>31.  Global Best Practice in Commercial ADR</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world's leading arbitral institutions — SIAC, ICC, LCIA, HKIAC, SCC and the AAA/ICDR — have proven what makes institutional arbitration work: strong rules, credible panels, expedited and emergency procedures, and light-touch but effective administration. Equator adopts these, adapted to Indian law.</w:t>
            </w:r>
          </w:p>
        </w:tc>
      </w:tr>
    </w:tbl>
    <w:p>
      <w:pPr>
        <w:spacing w:after="120"/>
      </w:pPr>
    </w:p>
    <w:p>
      <w:pPr>
        <w:spacing w:after="140"/>
        <w:jc w:val="both"/>
      </w:pPr>
      <w:r>
        <w:rPr>
          <w:rFonts w:ascii="Calibri" w:hAnsi="Calibri"/>
          <w:b w:val="0"/>
          <w:i w:val="0"/>
          <w:color w:val="1B2A32"/>
          <w:sz w:val="21"/>
        </w:rPr>
        <w:t xml:space="preserve">Equator's Rules and practice draw on the global consensus. From the </w:t>
      </w:r>
      <w:r>
        <w:rPr>
          <w:rFonts w:ascii="Calibri" w:hAnsi="Calibri"/>
          <w:b/>
          <w:i w:val="0"/>
          <w:color w:val="1B2A32"/>
          <w:sz w:val="21"/>
        </w:rPr>
        <w:t>UNCITRAL Model Law and Arbitration Rules</w:t>
      </w:r>
      <w:r>
        <w:rPr>
          <w:rFonts w:ascii="Calibri" w:hAnsi="Calibri"/>
          <w:b w:val="0"/>
          <w:i w:val="0"/>
          <w:color w:val="1B2A32"/>
          <w:sz w:val="21"/>
        </w:rPr>
        <w:t xml:space="preserve"> — on which India's Act is based — come the core architecture and party autonomy. From </w:t>
      </w:r>
      <w:r>
        <w:rPr>
          <w:rFonts w:ascii="Calibri" w:hAnsi="Calibri"/>
          <w:b/>
          <w:i w:val="0"/>
          <w:color w:val="1B2A32"/>
          <w:sz w:val="21"/>
        </w:rPr>
        <w:t>SIAC, ICC, LCIA, HKIAC and SCC</w:t>
      </w:r>
      <w:r>
        <w:rPr>
          <w:rFonts w:ascii="Calibri" w:hAnsi="Calibri"/>
          <w:b w:val="0"/>
          <w:i w:val="0"/>
          <w:color w:val="1B2A32"/>
          <w:sz w:val="21"/>
        </w:rPr>
        <w:t xml:space="preserve"> come the features that make modern institutional arbitration fast and trusted: an </w:t>
      </w:r>
      <w:r>
        <w:rPr>
          <w:rFonts w:ascii="Calibri" w:hAnsi="Calibri"/>
          <w:b/>
          <w:i w:val="0"/>
          <w:color w:val="1B2A32"/>
          <w:sz w:val="21"/>
        </w:rPr>
        <w:t>expedited procedure</w:t>
      </w:r>
      <w:r>
        <w:rPr>
          <w:rFonts w:ascii="Calibri" w:hAnsi="Calibri"/>
          <w:b w:val="0"/>
          <w:i w:val="0"/>
          <w:color w:val="1B2A32"/>
          <w:sz w:val="21"/>
        </w:rPr>
        <w:t xml:space="preserve"> for lower-value or urgent matters; an </w:t>
      </w:r>
      <w:r>
        <w:rPr>
          <w:rFonts w:ascii="Calibri" w:hAnsi="Calibri"/>
          <w:b/>
          <w:i w:val="0"/>
          <w:color w:val="1B2A32"/>
          <w:sz w:val="21"/>
        </w:rPr>
        <w:t>emergency arbitrator</w:t>
      </w:r>
      <w:r>
        <w:rPr>
          <w:rFonts w:ascii="Calibri" w:hAnsi="Calibri"/>
          <w:b w:val="0"/>
          <w:i w:val="0"/>
          <w:color w:val="1B2A32"/>
          <w:sz w:val="21"/>
        </w:rPr>
        <w:t xml:space="preserve"> for pre-tribunal relief; </w:t>
      </w:r>
      <w:r>
        <w:rPr>
          <w:rFonts w:ascii="Calibri" w:hAnsi="Calibri"/>
          <w:b/>
          <w:i w:val="0"/>
          <w:color w:val="1B2A32"/>
          <w:sz w:val="21"/>
        </w:rPr>
        <w:t>consolidation and joinder</w:t>
      </w:r>
      <w:r>
        <w:rPr>
          <w:rFonts w:ascii="Calibri" w:hAnsi="Calibri"/>
          <w:b w:val="0"/>
          <w:i w:val="0"/>
          <w:color w:val="1B2A32"/>
          <w:sz w:val="21"/>
        </w:rPr>
        <w:t xml:space="preserve"> for multi-contract and multi-party disputes; </w:t>
      </w:r>
      <w:r>
        <w:rPr>
          <w:rFonts w:ascii="Calibri" w:hAnsi="Calibri"/>
          <w:b/>
          <w:i w:val="0"/>
          <w:color w:val="1B2A32"/>
          <w:sz w:val="21"/>
        </w:rPr>
        <w:t>scrutiny of draft awards</w:t>
      </w:r>
      <w:r>
        <w:rPr>
          <w:rFonts w:ascii="Calibri" w:hAnsi="Calibri"/>
          <w:b w:val="0"/>
          <w:i w:val="0"/>
          <w:color w:val="1B2A32"/>
          <w:sz w:val="21"/>
        </w:rPr>
        <w:t xml:space="preserve"> for quality; transparent, </w:t>
      </w:r>
      <w:r>
        <w:rPr>
          <w:rFonts w:ascii="Calibri" w:hAnsi="Calibri"/>
          <w:b/>
          <w:i w:val="0"/>
          <w:color w:val="1B2A32"/>
          <w:sz w:val="21"/>
        </w:rPr>
        <w:t>ad valorem fee schedules</w:t>
      </w:r>
      <w:r>
        <w:rPr>
          <w:rFonts w:ascii="Calibri" w:hAnsi="Calibri"/>
          <w:b w:val="0"/>
          <w:i w:val="0"/>
          <w:color w:val="1B2A32"/>
          <w:sz w:val="21"/>
        </w:rPr>
        <w:t xml:space="preserve">; and a professional case-management secretariat. From the </w:t>
      </w:r>
      <w:r>
        <w:rPr>
          <w:rFonts w:ascii="Calibri" w:hAnsi="Calibri"/>
          <w:b/>
          <w:i w:val="0"/>
          <w:color w:val="1B2A32"/>
          <w:sz w:val="21"/>
        </w:rPr>
        <w:t>ICC</w:t>
      </w:r>
      <w:r>
        <w:rPr>
          <w:rFonts w:ascii="Calibri" w:hAnsi="Calibri"/>
          <w:b w:val="0"/>
          <w:i w:val="0"/>
          <w:color w:val="1B2A32"/>
          <w:sz w:val="21"/>
        </w:rPr>
        <w:t xml:space="preserve"> and construction practice come </w:t>
      </w:r>
      <w:r>
        <w:rPr>
          <w:rFonts w:ascii="Calibri" w:hAnsi="Calibri"/>
          <w:b/>
          <w:i w:val="0"/>
          <w:color w:val="1B2A32"/>
          <w:sz w:val="21"/>
        </w:rPr>
        <w:t>tiered (med-arb) clauses</w:t>
      </w:r>
      <w:r>
        <w:rPr>
          <w:rFonts w:ascii="Calibri" w:hAnsi="Calibri"/>
          <w:b w:val="0"/>
          <w:i w:val="0"/>
          <w:color w:val="1B2A32"/>
          <w:sz w:val="21"/>
        </w:rPr>
        <w:t xml:space="preserve"> and </w:t>
      </w:r>
      <w:r>
        <w:rPr>
          <w:rFonts w:ascii="Calibri" w:hAnsi="Calibri"/>
          <w:b/>
          <w:i w:val="0"/>
          <w:color w:val="1B2A32"/>
          <w:sz w:val="21"/>
        </w:rPr>
        <w:t>dispute boards</w:t>
      </w:r>
      <w:r>
        <w:rPr>
          <w:rFonts w:ascii="Calibri" w:hAnsi="Calibri"/>
          <w:b w:val="0"/>
          <w:i w:val="0"/>
          <w:color w:val="1B2A32"/>
          <w:sz w:val="21"/>
        </w:rPr>
        <w:t>. Equator localises all of this within the Arbitration &amp; Conciliation Act and the Mediation Act.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Institution / instrument</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7"/>
              </w:rPr>
              <w:t>Signature practice</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What Equator adopts</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UNCITRAL Model Law &amp; Rules</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The global template India's Act follows</w:t>
            </w:r>
          </w:p>
        </w:tc>
        <w:tc>
          <w:tcPr>
            <w:tcW w:type="dxa" w:w="3231"/>
            <w:tcMar>
              <w:top w:w="60" w:type="dxa"/>
              <w:bottom w:w="60" w:type="dxa"/>
              <w:start w:w="110" w:type="dxa"/>
              <w:end w:w="110" w:type="dxa"/>
            </w:tcMar>
          </w:tcPr>
          <w:p>
            <w:pPr>
              <w:spacing w:after="0"/>
              <w:jc w:val="left"/>
            </w:pPr>
            <w:r>
              <w:rPr>
                <w:rFonts w:ascii="Calibri" w:hAnsi="Calibri"/>
                <w:b w:val="0"/>
                <w:i w:val="0"/>
                <w:color w:val="1B2A32"/>
                <w:sz w:val="17"/>
              </w:rPr>
              <w:t>Model-Law-aligned Rules; party autonomy; kompetenz-kompetenz</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SIAC / ICC / LCIA / HKIAC</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Expedited procedure; emergency arbitrator; scrutiny of awards</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Expedited &amp; emergency tracks; award scrutiny for quality</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ICC / construction practice</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Tiered med-arb clauses; dispute boards</w:t>
            </w:r>
          </w:p>
        </w:tc>
        <w:tc>
          <w:tcPr>
            <w:tcW w:type="dxa" w:w="3231"/>
            <w:tcMar>
              <w:top w:w="60" w:type="dxa"/>
              <w:bottom w:w="60" w:type="dxa"/>
              <w:start w:w="110" w:type="dxa"/>
              <w:end w:w="110" w:type="dxa"/>
            </w:tcMar>
          </w:tcPr>
          <w:p>
            <w:pPr>
              <w:spacing w:after="0"/>
              <w:jc w:val="left"/>
            </w:pPr>
            <w:r>
              <w:rPr>
                <w:rFonts w:ascii="Calibri" w:hAnsi="Calibri"/>
                <w:b w:val="0"/>
                <w:i w:val="0"/>
                <w:color w:val="1B2A32"/>
                <w:sz w:val="17"/>
              </w:rPr>
              <w:t>Model tiered clauses; dispute-board option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AAA/ICDR</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Strong ODR &amp; case-management technology</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ODR-native platform; AI-assisted administration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Singapore Convention</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Cross-border enforceability of mediated settlements</w:t>
            </w:r>
          </w:p>
        </w:tc>
        <w:tc>
          <w:tcPr>
            <w:tcW w:type="dxa" w:w="3231"/>
            <w:tcMar>
              <w:top w:w="60" w:type="dxa"/>
              <w:bottom w:w="60" w:type="dxa"/>
              <w:start w:w="110" w:type="dxa"/>
              <w:end w:w="110" w:type="dxa"/>
            </w:tcMar>
          </w:tcPr>
          <w:p>
            <w:pPr>
              <w:spacing w:after="0"/>
              <w:jc w:val="left"/>
            </w:pPr>
            <w:r>
              <w:rPr>
                <w:rFonts w:ascii="Calibri" w:hAnsi="Calibri"/>
                <w:b w:val="0"/>
                <w:i w:val="0"/>
                <w:color w:val="1B2A32"/>
                <w:sz w:val="17"/>
              </w:rPr>
              <w:t>International mediation ready (watch India ratification)</w:t>
            </w:r>
          </w:p>
        </w:tc>
      </w:tr>
    </w:tbl>
    <w:p>
      <w:pPr>
        <w:spacing w:after="80"/>
      </w:pPr>
    </w:p>
    <w:p>
      <w:pPr>
        <w:spacing w:before="20" w:after="200"/>
        <w:jc w:val="center"/>
      </w:pPr>
      <w:r>
        <w:rPr>
          <w:rFonts w:ascii="Calibri" w:hAnsi="Calibri"/>
          <w:b w:val="0"/>
          <w:i/>
          <w:color w:val="556168"/>
          <w:sz w:val="17"/>
        </w:rPr>
        <w:t>Table 11 — Global best practice mapped to Equator's Indian implementation.</w:t>
      </w:r>
    </w:p>
    <w:p>
      <w:pPr>
        <w:keepNext/>
        <w:spacing w:before="320" w:after="140"/>
        <w:pBdr>
          <w:bottom w:val="single" w:sz="12" w:space="3" w:color="C6A15B"/>
        </w:pBdr>
      </w:pPr>
      <w:r>
        <w:rPr>
          <w:rFonts w:ascii="Calibri" w:hAnsi="Calibri"/>
          <w:b/>
          <w:i w:val="0"/>
          <w:color w:val="123B4F"/>
          <w:sz w:val="34"/>
        </w:rPr>
        <w:t>32.  Institutional Excellence &amp; Getting Parties to the Table</w:t>
      </w:r>
    </w:p>
    <w:p>
      <w:pPr>
        <w:spacing w:after="140"/>
        <w:jc w:val="both"/>
      </w:pPr>
      <w:r>
        <w:rPr>
          <w:rFonts w:ascii="Calibri" w:hAnsi="Calibri"/>
          <w:b w:val="0"/>
          <w:i w:val="0"/>
          <w:color w:val="1B2A32"/>
          <w:sz w:val="21"/>
        </w:rPr>
        <w:t xml:space="preserve">Institutional credibility drives adoption. Equator earns it through published, predictable </w:t>
      </w:r>
      <w:r>
        <w:rPr>
          <w:rFonts w:ascii="Calibri" w:hAnsi="Calibri"/>
          <w:b/>
          <w:i w:val="0"/>
          <w:color w:val="1B2A32"/>
          <w:sz w:val="21"/>
        </w:rPr>
        <w:t>Rules</w:t>
      </w:r>
      <w:r>
        <w:rPr>
          <w:rFonts w:ascii="Calibri" w:hAnsi="Calibri"/>
          <w:b w:val="0"/>
          <w:i w:val="0"/>
          <w:color w:val="1B2A32"/>
          <w:sz w:val="21"/>
        </w:rPr>
        <w:t xml:space="preserve">; a </w:t>
      </w:r>
      <w:r>
        <w:rPr>
          <w:rFonts w:ascii="Calibri" w:hAnsi="Calibri"/>
          <w:b/>
          <w:i w:val="0"/>
          <w:color w:val="1B2A32"/>
          <w:sz w:val="21"/>
        </w:rPr>
        <w:t>graded, transparent panel</w:t>
      </w:r>
      <w:r>
        <w:rPr>
          <w:rFonts w:ascii="Calibri" w:hAnsi="Calibri"/>
          <w:b w:val="0"/>
          <w:i w:val="0"/>
          <w:color w:val="1B2A32"/>
          <w:sz w:val="21"/>
        </w:rPr>
        <w:t xml:space="preserve"> with real sector depth; </w:t>
      </w:r>
      <w:r>
        <w:rPr>
          <w:rFonts w:ascii="Calibri" w:hAnsi="Calibri"/>
          <w:b/>
          <w:i w:val="0"/>
          <w:color w:val="1B2A32"/>
          <w:sz w:val="21"/>
        </w:rPr>
        <w:t>speed</w:t>
      </w:r>
      <w:r>
        <w:rPr>
          <w:rFonts w:ascii="Calibri" w:hAnsi="Calibri"/>
          <w:b w:val="0"/>
          <w:i w:val="0"/>
          <w:color w:val="1B2A32"/>
          <w:sz w:val="21"/>
        </w:rPr>
        <w:t xml:space="preserve"> (expedited and fast-track options, a disciplined s.29A clock); and </w:t>
      </w:r>
      <w:r>
        <w:rPr>
          <w:rFonts w:ascii="Calibri" w:hAnsi="Calibri"/>
          <w:b/>
          <w:i w:val="0"/>
          <w:color w:val="1B2A32"/>
          <w:sz w:val="21"/>
        </w:rPr>
        <w:t>clause insertion</w:t>
      </w:r>
      <w:r>
        <w:rPr>
          <w:rFonts w:ascii="Calibri" w:hAnsi="Calibri"/>
          <w:b w:val="0"/>
          <w:i w:val="0"/>
          <w:color w:val="1B2A32"/>
          <w:sz w:val="21"/>
        </w:rPr>
        <w:t xml:space="preserve"> — embedding the Equator arbitration/ADR clause into loan agreements, MSAs, procurement contracts, shareholder and JV agreements and terms of service, so that future disputes arrive pre-committed to Equator. The mandatory </w:t>
      </w:r>
      <w:r>
        <w:rPr>
          <w:rFonts w:ascii="Calibri" w:hAnsi="Calibri"/>
          <w:b/>
          <w:i w:val="0"/>
          <w:color w:val="1B2A32"/>
          <w:sz w:val="21"/>
        </w:rPr>
        <w:t>s.12A</w:t>
      </w:r>
      <w:r>
        <w:rPr>
          <w:rFonts w:ascii="Calibri" w:hAnsi="Calibri"/>
          <w:b w:val="0"/>
          <w:i w:val="0"/>
          <w:color w:val="1B2A32"/>
          <w:sz w:val="21"/>
        </w:rPr>
        <w:t xml:space="preserve"> gateway and court </w:t>
      </w:r>
      <w:r>
        <w:rPr>
          <w:rFonts w:ascii="Calibri" w:hAnsi="Calibri"/>
          <w:b/>
          <w:i w:val="0"/>
          <w:color w:val="1B2A32"/>
          <w:sz w:val="21"/>
        </w:rPr>
        <w:t>referrals</w:t>
      </w:r>
      <w:r>
        <w:rPr>
          <w:rFonts w:ascii="Calibri" w:hAnsi="Calibri"/>
          <w:b w:val="0"/>
          <w:i w:val="0"/>
          <w:color w:val="1B2A32"/>
          <w:sz w:val="21"/>
        </w:rPr>
        <w:t xml:space="preserve"> (ss.8, 11, 89 CPC) supply a further, compelled pipeline.</w:t>
      </w:r>
    </w:p>
    <w:p>
      <w:pPr>
        <w:keepNext/>
        <w:spacing w:before="320" w:after="140"/>
        <w:pBdr>
          <w:bottom w:val="single" w:sz="12" w:space="3" w:color="C6A15B"/>
        </w:pBdr>
      </w:pPr>
      <w:r>
        <w:rPr>
          <w:rFonts w:ascii="Calibri" w:hAnsi="Calibri"/>
          <w:b/>
          <w:i w:val="0"/>
          <w:color w:val="123B4F"/>
          <w:sz w:val="34"/>
        </w:rPr>
        <w:t>33.  Better Outcomes — Beyond Binary Win/Lose</w:t>
      </w:r>
    </w:p>
    <w:p>
      <w:pPr>
        <w:pStyle w:val="ListBullet"/>
        <w:spacing w:after="60"/>
        <w:jc w:val="both"/>
      </w:pPr>
      <w:r>
        <w:rPr>
          <w:rFonts w:ascii="Calibri" w:hAnsi="Calibri"/>
          <w:b/>
          <w:i w:val="0"/>
          <w:color w:val="123B4F"/>
          <w:sz w:val="21"/>
        </w:rPr>
        <w:t xml:space="preserve">Tiered (med-arb) clauses: </w:t>
      </w:r>
      <w:r>
        <w:rPr>
          <w:rFonts w:ascii="Calibri" w:hAnsi="Calibri"/>
          <w:b w:val="0"/>
          <w:i w:val="0"/>
          <w:color w:val="1B2A32"/>
          <w:sz w:val="21"/>
        </w:rPr>
        <w:t>Negotiate → mediate → arbitrate: resolve early where possible, guarantee finality where not.</w:t>
      </w:r>
    </w:p>
    <w:p>
      <w:pPr>
        <w:pStyle w:val="ListBullet"/>
        <w:spacing w:after="60"/>
        <w:jc w:val="both"/>
      </w:pPr>
      <w:r>
        <w:rPr>
          <w:rFonts w:ascii="Calibri" w:hAnsi="Calibri"/>
          <w:b/>
          <w:i w:val="0"/>
          <w:color w:val="123B4F"/>
          <w:sz w:val="21"/>
        </w:rPr>
        <w:t xml:space="preserve">Early Neutral Evaluation: </w:t>
      </w:r>
      <w:r>
        <w:rPr>
          <w:rFonts w:ascii="Calibri" w:hAnsi="Calibri"/>
          <w:b w:val="0"/>
          <w:i w:val="0"/>
          <w:color w:val="1B2A32"/>
          <w:sz w:val="21"/>
        </w:rPr>
        <w:t>A senior neutral gives a non-binding, candid assessment that realigns expectations and settles cases.</w:t>
      </w:r>
    </w:p>
    <w:p>
      <w:pPr>
        <w:pStyle w:val="ListBullet"/>
        <w:spacing w:after="60"/>
        <w:jc w:val="both"/>
      </w:pPr>
      <w:r>
        <w:rPr>
          <w:rFonts w:ascii="Calibri" w:hAnsi="Calibri"/>
          <w:b/>
          <w:i w:val="0"/>
          <w:color w:val="123B4F"/>
          <w:sz w:val="21"/>
        </w:rPr>
        <w:t xml:space="preserve">Expert determination: </w:t>
      </w:r>
      <w:r>
        <w:rPr>
          <w:rFonts w:ascii="Calibri" w:hAnsi="Calibri"/>
          <w:b w:val="0"/>
          <w:i w:val="0"/>
          <w:color w:val="1B2A32"/>
          <w:sz w:val="21"/>
        </w:rPr>
        <w:t>For technical/valuation disputes (accounts, engineering, IP royalties), a binding expert decision — fast and cheap.</w:t>
      </w:r>
    </w:p>
    <w:p>
      <w:pPr>
        <w:pStyle w:val="ListBullet"/>
        <w:spacing w:after="60"/>
        <w:jc w:val="both"/>
      </w:pPr>
      <w:r>
        <w:rPr>
          <w:rFonts w:ascii="Calibri" w:hAnsi="Calibri"/>
          <w:b/>
          <w:i w:val="0"/>
          <w:color w:val="123B4F"/>
          <w:sz w:val="21"/>
        </w:rPr>
        <w:t xml:space="preserve">Dispute boards: </w:t>
      </w:r>
      <w:r>
        <w:rPr>
          <w:rFonts w:ascii="Calibri" w:hAnsi="Calibri"/>
          <w:b w:val="0"/>
          <w:i w:val="0"/>
          <w:color w:val="1B2A32"/>
          <w:sz w:val="21"/>
        </w:rPr>
        <w:t>Standing boards for long construction/infrastructure projects to resolve issues in real time.</w:t>
      </w:r>
    </w:p>
    <w:p>
      <w:pPr>
        <w:pStyle w:val="ListBullet"/>
        <w:spacing w:after="60"/>
        <w:jc w:val="both"/>
      </w:pPr>
      <w:r>
        <w:rPr>
          <w:rFonts w:ascii="Calibri" w:hAnsi="Calibri"/>
          <w:b/>
          <w:i w:val="0"/>
          <w:color w:val="123B4F"/>
          <w:sz w:val="21"/>
        </w:rPr>
        <w:t xml:space="preserve">Expedited &amp; documents-only: </w:t>
      </w:r>
      <w:r>
        <w:rPr>
          <w:rFonts w:ascii="Calibri" w:hAnsi="Calibri"/>
          <w:b w:val="0"/>
          <w:i w:val="0"/>
          <w:color w:val="1B2A32"/>
          <w:sz w:val="21"/>
        </w:rPr>
        <w:t>For lower-value or straightforward matters — an award on documents, no oral hearing.</w:t>
      </w:r>
    </w:p>
    <w:p>
      <w:pPr>
        <w:pStyle w:val="ListBullet"/>
        <w:spacing w:after="60"/>
        <w:jc w:val="both"/>
      </w:pPr>
      <w:r>
        <w:rPr>
          <w:rFonts w:ascii="Calibri" w:hAnsi="Calibri"/>
          <w:b/>
          <w:i w:val="0"/>
          <w:color w:val="123B4F"/>
          <w:sz w:val="21"/>
        </w:rPr>
        <w:t xml:space="preserve">Consolidation &amp; joinder: </w:t>
      </w:r>
      <w:r>
        <w:rPr>
          <w:rFonts w:ascii="Calibri" w:hAnsi="Calibri"/>
          <w:b w:val="0"/>
          <w:i w:val="0"/>
          <w:color w:val="1B2A32"/>
          <w:sz w:val="21"/>
        </w:rPr>
        <w:t>One proceeding for related multi-contract, multi-party disputes — efficiency and consistency.</w:t>
      </w:r>
    </w:p>
    <w:p>
      <w:pPr>
        <w:spacing w:after="40"/>
      </w:pPr>
    </w:p>
    <w:p>
      <w:pPr>
        <w:keepNext/>
        <w:spacing w:before="320" w:after="140"/>
        <w:pBdr>
          <w:bottom w:val="single" w:sz="12" w:space="3" w:color="C6A15B"/>
        </w:pBdr>
      </w:pPr>
      <w:r>
        <w:rPr>
          <w:rFonts w:ascii="Calibri" w:hAnsi="Calibri"/>
          <w:b/>
          <w:i w:val="0"/>
          <w:color w:val="123B4F"/>
          <w:sz w:val="34"/>
        </w:rPr>
        <w:t>34.  Measuring Resolution Quality &amp; Continuous Improvement</w:t>
      </w:r>
    </w:p>
    <w:p>
      <w:pPr>
        <w:spacing w:after="140"/>
        <w:jc w:val="both"/>
      </w:pPr>
      <w:r>
        <w:rPr>
          <w:rFonts w:ascii="Calibri" w:hAnsi="Calibri"/>
          <w:b w:val="0"/>
          <w:i w:val="0"/>
          <w:color w:val="1B2A32"/>
          <w:sz w:val="21"/>
        </w:rPr>
        <w:t xml:space="preserve">Beyond throughput, Equator measures what makes an institution trusted: </w:t>
      </w:r>
      <w:r>
        <w:rPr>
          <w:rFonts w:ascii="Calibri" w:hAnsi="Calibri"/>
          <w:b/>
          <w:i w:val="0"/>
          <w:color w:val="1B2A32"/>
          <w:sz w:val="21"/>
        </w:rPr>
        <w:t>enforceability</w:t>
      </w:r>
      <w:r>
        <w:rPr>
          <w:rFonts w:ascii="Calibri" w:hAnsi="Calibri"/>
          <w:b w:val="0"/>
          <w:i w:val="0"/>
          <w:color w:val="1B2A32"/>
          <w:sz w:val="21"/>
        </w:rPr>
        <w:t xml:space="preserve"> (low set-aside rate), </w:t>
      </w:r>
      <w:r>
        <w:rPr>
          <w:rFonts w:ascii="Calibri" w:hAnsi="Calibri"/>
          <w:b/>
          <w:i w:val="0"/>
          <w:color w:val="1B2A32"/>
          <w:sz w:val="21"/>
        </w:rPr>
        <w:t>speed</w:t>
      </w:r>
      <w:r>
        <w:rPr>
          <w:rFonts w:ascii="Calibri" w:hAnsi="Calibri"/>
          <w:b w:val="0"/>
          <w:i w:val="0"/>
          <w:color w:val="1B2A32"/>
          <w:sz w:val="21"/>
        </w:rPr>
        <w:t xml:space="preserve"> (s.29A compliance, time-to-award), </w:t>
      </w:r>
      <w:r>
        <w:rPr>
          <w:rFonts w:ascii="Calibri" w:hAnsi="Calibri"/>
          <w:b/>
          <w:i w:val="0"/>
          <w:color w:val="1B2A32"/>
          <w:sz w:val="21"/>
        </w:rPr>
        <w:t>durability</w:t>
      </w:r>
      <w:r>
        <w:rPr>
          <w:rFonts w:ascii="Calibri" w:hAnsi="Calibri"/>
          <w:b w:val="0"/>
          <w:i w:val="0"/>
          <w:color w:val="1B2A32"/>
          <w:sz w:val="21"/>
        </w:rPr>
        <w:t xml:space="preserve"> (compliance/enforcement rate), </w:t>
      </w:r>
      <w:r>
        <w:rPr>
          <w:rFonts w:ascii="Calibri" w:hAnsi="Calibri"/>
          <w:b/>
          <w:i w:val="0"/>
          <w:color w:val="1B2A32"/>
          <w:sz w:val="21"/>
        </w:rPr>
        <w:t>quality</w:t>
      </w:r>
      <w:r>
        <w:rPr>
          <w:rFonts w:ascii="Calibri" w:hAnsi="Calibri"/>
          <w:b w:val="0"/>
          <w:i w:val="0"/>
          <w:color w:val="1B2A32"/>
          <w:sz w:val="21"/>
        </w:rPr>
        <w:t xml:space="preserve"> (award scrutiny outcomes, party satisfaction), and </w:t>
      </w:r>
      <w:r>
        <w:rPr>
          <w:rFonts w:ascii="Calibri" w:hAnsi="Calibri"/>
          <w:b/>
          <w:i w:val="0"/>
          <w:color w:val="1B2A32"/>
          <w:sz w:val="21"/>
        </w:rPr>
        <w:t>integrity</w:t>
      </w:r>
      <w:r>
        <w:rPr>
          <w:rFonts w:ascii="Calibri" w:hAnsi="Calibri"/>
          <w:b w:val="0"/>
          <w:i w:val="0"/>
          <w:color w:val="1B2A32"/>
          <w:sz w:val="21"/>
        </w:rPr>
        <w:t xml:space="preserve"> (disclosure completeness, conflict incidents). An anonymised </w:t>
      </w:r>
      <w:r>
        <w:rPr>
          <w:rFonts w:ascii="Calibri" w:hAnsi="Calibri"/>
          <w:b/>
          <w:i w:val="0"/>
          <w:color w:val="1B2A32"/>
          <w:sz w:val="21"/>
        </w:rPr>
        <w:t>awards and clause bank</w:t>
      </w:r>
      <w:r>
        <w:rPr>
          <w:rFonts w:ascii="Calibri" w:hAnsi="Calibri"/>
          <w:b w:val="0"/>
          <w:i w:val="0"/>
          <w:color w:val="1B2A32"/>
          <w:sz w:val="21"/>
        </w:rPr>
        <w:t xml:space="preserve"> and a published rules commentary build jurisprudential authority over time.</w:t>
      </w:r>
    </w:p>
    <w:p>
      <w:r>
        <w:br w:type="page"/>
      </w:r>
    </w:p>
    <w:p>
      <w:pPr>
        <w:spacing w:before="600" w:after="40"/>
      </w:pPr>
      <w:r>
        <w:rPr>
          <w:rFonts w:ascii="Calibri" w:hAnsi="Calibri"/>
          <w:b/>
          <w:i w:val="0"/>
          <w:color w:val="C6A15B"/>
          <w:sz w:val="26"/>
        </w:rPr>
        <w:t>PART F</w:t>
      </w:r>
    </w:p>
    <w:p>
      <w:pPr>
        <w:spacing w:after="200"/>
        <w:pBdr>
          <w:bottom w:val="single" w:sz="18" w:space="3" w:color="1E7A8C"/>
        </w:pBdr>
      </w:pPr>
      <w:r>
        <w:rPr>
          <w:rFonts w:ascii="Calibri" w:hAnsi="Calibri"/>
          <w:b/>
          <w:i w:val="0"/>
          <w:color w:val="123B4F"/>
          <w:sz w:val="46"/>
        </w:rPr>
        <w:t>Technology — AI, ODR, e-Sign, e-Stamp &amp; Court Integration</w:t>
      </w:r>
    </w:p>
    <w:p>
      <w:pPr>
        <w:keepNext/>
        <w:spacing w:before="320" w:after="140"/>
        <w:pBdr>
          <w:bottom w:val="single" w:sz="12" w:space="3" w:color="C6A15B"/>
        </w:pBdr>
      </w:pPr>
      <w:r>
        <w:rPr>
          <w:rFonts w:ascii="Calibri" w:hAnsi="Calibri"/>
          <w:b/>
          <w:i w:val="0"/>
          <w:color w:val="123B4F"/>
          <w:sz w:val="34"/>
        </w:rPr>
        <w:t>35.  The AI-Assisted Commercial Dispute Explorer</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AI front door for businesses: it answers questions about Equator's process and about the remedies for their dispute, checks </w:t>
            </w:r>
            <w:r>
              <w:rPr>
                <w:rFonts w:ascii="Calibri" w:hAnsi="Calibri"/>
                <w:b/>
                <w:i w:val="0"/>
                <w:color w:val="1B2A32"/>
                <w:sz w:val="20"/>
              </w:rPr>
              <w:t>which mechanism fits</w:t>
            </w:r>
            <w:r>
              <w:rPr>
                <w:rFonts w:ascii="Calibri" w:hAnsi="Calibri"/>
                <w:b w:val="0"/>
                <w:i w:val="0"/>
                <w:color w:val="1B2A32"/>
                <w:sz w:val="20"/>
              </w:rPr>
              <w:t xml:space="preserve"> and whether the matter is </w:t>
            </w:r>
            <w:r>
              <w:rPr>
                <w:rFonts w:ascii="Calibri" w:hAnsi="Calibri"/>
                <w:b/>
                <w:i w:val="0"/>
                <w:color w:val="1B2A32"/>
                <w:sz w:val="20"/>
              </w:rPr>
              <w:t>arbitrable</w:t>
            </w:r>
            <w:r>
              <w:rPr>
                <w:rFonts w:ascii="Calibri" w:hAnsi="Calibri"/>
                <w:b w:val="0"/>
                <w:i w:val="0"/>
                <w:color w:val="1B2A32"/>
                <w:sz w:val="20"/>
              </w:rPr>
              <w:t xml:space="preserve">, and </w:t>
            </w:r>
            <w:r>
              <w:rPr>
                <w:rFonts w:ascii="Calibri" w:hAnsi="Calibri"/>
                <w:b/>
                <w:i w:val="0"/>
                <w:color w:val="1B2A32"/>
                <w:sz w:val="20"/>
              </w:rPr>
              <w:t>drafts the Request for Arbitration or Statement of Claim</w:t>
            </w:r>
            <w:r>
              <w:rPr>
                <w:rFonts w:ascii="Calibri" w:hAnsi="Calibri"/>
                <w:b w:val="0"/>
                <w:i w:val="0"/>
                <w:color w:val="1B2A32"/>
                <w:sz w:val="20"/>
              </w:rPr>
              <w:t xml:space="preserve"> — always as a reviewable draft, not legal advice.</w:t>
            </w:r>
          </w:p>
        </w:tc>
      </w:tr>
    </w:tbl>
    <w:p>
      <w:pPr>
        <w:spacing w:after="120"/>
      </w:pPr>
    </w:p>
    <w:p>
      <w:pPr>
        <w:spacing w:after="140"/>
        <w:jc w:val="both"/>
      </w:pPr>
      <w:r>
        <w:rPr>
          <w:rFonts w:ascii="Calibri" w:hAnsi="Calibri"/>
          <w:b w:val="0"/>
          <w:i w:val="0"/>
          <w:color w:val="1B2A32"/>
          <w:sz w:val="21"/>
        </w:rPr>
        <w:t xml:space="preserve">The AI assistant is grounded (retrieval-augmented) on Equator's Rules and the commercial legal framework in this Blueprint. For a business user it provides: </w:t>
      </w:r>
      <w:r>
        <w:rPr>
          <w:rFonts w:ascii="Calibri" w:hAnsi="Calibri"/>
          <w:b/>
          <w:i w:val="0"/>
          <w:color w:val="1B2A32"/>
          <w:sz w:val="21"/>
        </w:rPr>
        <w:t>procedure Q&amp;A</w:t>
      </w:r>
      <w:r>
        <w:rPr>
          <w:rFonts w:ascii="Calibri" w:hAnsi="Calibri"/>
          <w:b w:val="0"/>
          <w:i w:val="0"/>
          <w:color w:val="1B2A32"/>
          <w:sz w:val="21"/>
        </w:rPr>
        <w:t xml:space="preserve">; a </w:t>
      </w:r>
      <w:r>
        <w:rPr>
          <w:rFonts w:ascii="Calibri" w:hAnsi="Calibri"/>
          <w:b/>
          <w:i w:val="0"/>
          <w:color w:val="1B2A32"/>
          <w:sz w:val="21"/>
        </w:rPr>
        <w:t>mechanism recommender</w:t>
      </w:r>
      <w:r>
        <w:rPr>
          <w:rFonts w:ascii="Calibri" w:hAnsi="Calibri"/>
          <w:b w:val="0"/>
          <w:i w:val="0"/>
          <w:color w:val="1B2A32"/>
          <w:sz w:val="21"/>
        </w:rPr>
        <w:t xml:space="preserve"> (arbitration vs mediation vs s.12A vs MSME vs court), reasoned from the dispute, the contract and the arbitrability triage; </w:t>
      </w:r>
      <w:r>
        <w:rPr>
          <w:rFonts w:ascii="Calibri" w:hAnsi="Calibri"/>
          <w:b/>
          <w:i w:val="0"/>
          <w:color w:val="1B2A32"/>
          <w:sz w:val="21"/>
        </w:rPr>
        <w:t>remedies and interest guidance</w:t>
      </w:r>
      <w:r>
        <w:rPr>
          <w:rFonts w:ascii="Calibri" w:hAnsi="Calibri"/>
          <w:b w:val="0"/>
          <w:i w:val="0"/>
          <w:color w:val="1B2A32"/>
          <w:sz w:val="21"/>
        </w:rPr>
        <w:t xml:space="preserve"> (including MSME Section 16 interest); and </w:t>
      </w:r>
      <w:r>
        <w:rPr>
          <w:rFonts w:ascii="Calibri" w:hAnsi="Calibri"/>
          <w:b/>
          <w:i w:val="0"/>
          <w:color w:val="1B2A32"/>
          <w:sz w:val="21"/>
        </w:rPr>
        <w:t>drafting help</w:t>
      </w:r>
      <w:r>
        <w:rPr>
          <w:rFonts w:ascii="Calibri" w:hAnsi="Calibri"/>
          <w:b w:val="0"/>
          <w:i w:val="0"/>
          <w:color w:val="1B2A32"/>
          <w:sz w:val="21"/>
        </w:rPr>
        <w:t xml:space="preserve"> for the Request for Arbitration, Statement of Claim, or Response/Counterclaim from the user's facts and contract. For the </w:t>
      </w:r>
      <w:r>
        <w:rPr>
          <w:rFonts w:ascii="Calibri" w:hAnsi="Calibri"/>
          <w:b/>
          <w:i w:val="0"/>
          <w:color w:val="1B2A32"/>
          <w:sz w:val="21"/>
        </w:rPr>
        <w:t>case manager and tribunal</w:t>
      </w:r>
      <w:r>
        <w:rPr>
          <w:rFonts w:ascii="Calibri" w:hAnsi="Calibri"/>
          <w:b w:val="0"/>
          <w:i w:val="0"/>
          <w:color w:val="1B2A32"/>
          <w:sz w:val="21"/>
        </w:rPr>
        <w:t xml:space="preserve"> it drafts procedural orders, timelines and correspondence, runs first-pass conflict checks, summarises evidence, and proposes award formatting — always under human control. It </w:t>
      </w:r>
      <w:r>
        <w:rPr>
          <w:rFonts w:ascii="Calibri" w:hAnsi="Calibri"/>
          <w:b/>
          <w:i w:val="0"/>
          <w:color w:val="1B2A32"/>
          <w:sz w:val="21"/>
        </w:rPr>
        <w:t>informs, it does not advise</w:t>
      </w:r>
      <w:r>
        <w:rPr>
          <w:rFonts w:ascii="Calibri" w:hAnsi="Calibri"/>
          <w:b w:val="0"/>
          <w:i w:val="0"/>
          <w:color w:val="1B2A32"/>
          <w:sz w:val="21"/>
        </w:rPr>
        <w:t>, and it defers to a human whenever the matter needs judgement.</w:t>
      </w:r>
    </w:p>
    <w:p>
      <w:pPr>
        <w:spacing w:before="80" w:after="40"/>
        <w:jc w:val="center"/>
      </w:pPr>
      <w:r>
        <w:drawing>
          <wp:inline xmlns:a="http://schemas.openxmlformats.org/drawingml/2006/main" xmlns:pic="http://schemas.openxmlformats.org/drawingml/2006/picture">
            <wp:extent cx="5760720" cy="3200400"/>
            <wp:docPr id="10" name="Picture 10"/>
            <wp:cNvGraphicFramePr>
              <a:graphicFrameLocks noChangeAspect="1"/>
            </wp:cNvGraphicFramePr>
            <a:graphic>
              <a:graphicData uri="http://schemas.openxmlformats.org/drawingml/2006/picture">
                <pic:pic>
                  <pic:nvPicPr>
                    <pic:cNvPr id="0" name="cm08_ai_explorer.png"/>
                    <pic:cNvPicPr/>
                  </pic:nvPicPr>
                  <pic:blipFill>
                    <a:blip r:embed="rId17"/>
                    <a:stretch>
                      <a:fillRect/>
                    </a:stretch>
                  </pic:blipFill>
                  <pic:spPr>
                    <a:xfrm>
                      <a:off x="0" y="0"/>
                      <a:ext cx="5760720" cy="3200400"/>
                    </a:xfrm>
                    <a:prstGeom prst="rect"/>
                  </pic:spPr>
                </pic:pic>
              </a:graphicData>
            </a:graphic>
          </wp:inline>
        </w:drawing>
      </w:r>
    </w:p>
    <w:p>
      <w:pPr>
        <w:spacing w:before="20" w:after="200"/>
        <w:jc w:val="center"/>
      </w:pPr>
      <w:r>
        <w:rPr>
          <w:rFonts w:ascii="Calibri" w:hAnsi="Calibri"/>
          <w:b w:val="0"/>
          <w:i/>
          <w:color w:val="556168"/>
          <w:sz w:val="17"/>
        </w:rPr>
        <w:t>Figure 10 — The AI-assisted commercial Dispute Explorer: mechanism recommender, arbitrability check, drafting.</w:t>
      </w:r>
    </w:p>
    <w:p>
      <w:pPr>
        <w:keepNext/>
        <w:spacing w:before="320" w:after="140"/>
        <w:pBdr>
          <w:bottom w:val="single" w:sz="12" w:space="3" w:color="C6A15B"/>
        </w:pBdr>
      </w:pPr>
      <w:r>
        <w:rPr>
          <w:rFonts w:ascii="Calibri" w:hAnsi="Calibri"/>
          <w:b/>
          <w:i w:val="0"/>
          <w:color w:val="123B4F"/>
          <w:sz w:val="34"/>
        </w:rPr>
        <w:t>36.  AI Governance, Guardrails &amp; Data Protection</w:t>
      </w:r>
    </w:p>
    <w:p>
      <w:pPr>
        <w:pStyle w:val="ListBullet"/>
        <w:spacing w:after="60"/>
        <w:jc w:val="both"/>
      </w:pPr>
      <w:r>
        <w:rPr>
          <w:rFonts w:ascii="Calibri" w:hAnsi="Calibri"/>
          <w:b/>
          <w:i w:val="0"/>
          <w:color w:val="123B4F"/>
          <w:sz w:val="21"/>
        </w:rPr>
        <w:t xml:space="preserve">Information, not legal advice: </w:t>
      </w:r>
      <w:r>
        <w:rPr>
          <w:rFonts w:ascii="Calibri" w:hAnsi="Calibri"/>
          <w:b w:val="0"/>
          <w:i w:val="0"/>
          <w:color w:val="1B2A32"/>
          <w:sz w:val="21"/>
        </w:rPr>
        <w:t>General legal information and process guidance; directs users to counsel; no unauthorised practice of law.</w:t>
      </w:r>
    </w:p>
    <w:p>
      <w:pPr>
        <w:pStyle w:val="ListBullet"/>
        <w:spacing w:after="60"/>
        <w:jc w:val="both"/>
      </w:pPr>
      <w:r>
        <w:rPr>
          <w:rFonts w:ascii="Calibri" w:hAnsi="Calibri"/>
          <w:b/>
          <w:i w:val="0"/>
          <w:color w:val="123B4F"/>
          <w:sz w:val="21"/>
        </w:rPr>
        <w:t xml:space="preserve">Human-in-the-loop: </w:t>
      </w:r>
      <w:r>
        <w:rPr>
          <w:rFonts w:ascii="Calibri" w:hAnsi="Calibri"/>
          <w:b w:val="0"/>
          <w:i w:val="0"/>
          <w:color w:val="1B2A32"/>
          <w:sz w:val="21"/>
        </w:rPr>
        <w:t>Every draft (request, pleadings, orders, awards) is reviewed and owned by a human.</w:t>
      </w:r>
    </w:p>
    <w:p>
      <w:pPr>
        <w:pStyle w:val="ListBullet"/>
        <w:spacing w:after="60"/>
        <w:jc w:val="both"/>
      </w:pPr>
      <w:r>
        <w:rPr>
          <w:rFonts w:ascii="Calibri" w:hAnsi="Calibri"/>
          <w:b/>
          <w:i w:val="0"/>
          <w:color w:val="123B4F"/>
          <w:sz w:val="21"/>
        </w:rPr>
        <w:t xml:space="preserve">Neutrality: </w:t>
      </w:r>
      <w:r>
        <w:rPr>
          <w:rFonts w:ascii="Calibri" w:hAnsi="Calibri"/>
          <w:b w:val="0"/>
          <w:i w:val="0"/>
          <w:color w:val="1B2A32"/>
          <w:sz w:val="21"/>
        </w:rPr>
        <w:t>The assistant helps both sides equally and never strategises to advantage one party.</w:t>
      </w:r>
    </w:p>
    <w:p>
      <w:pPr>
        <w:pStyle w:val="ListBullet"/>
        <w:spacing w:after="60"/>
        <w:jc w:val="both"/>
      </w:pPr>
      <w:r>
        <w:rPr>
          <w:rFonts w:ascii="Calibri" w:hAnsi="Calibri"/>
          <w:b/>
          <w:i w:val="0"/>
          <w:color w:val="123B4F"/>
          <w:sz w:val="21"/>
        </w:rPr>
        <w:t xml:space="preserve">Grounded &amp; cited: </w:t>
      </w:r>
      <w:r>
        <w:rPr>
          <w:rFonts w:ascii="Calibri" w:hAnsi="Calibri"/>
          <w:b w:val="0"/>
          <w:i w:val="0"/>
          <w:color w:val="1B2A32"/>
          <w:sz w:val="21"/>
        </w:rPr>
        <w:t>Retrieval-augmented over Equator Rules and this Blueprint; refuses/defers rather than guessing.</w:t>
      </w:r>
    </w:p>
    <w:p>
      <w:pPr>
        <w:pStyle w:val="ListBullet"/>
        <w:spacing w:after="60"/>
        <w:jc w:val="both"/>
      </w:pPr>
      <w:r>
        <w:rPr>
          <w:rFonts w:ascii="Calibri" w:hAnsi="Calibri"/>
          <w:b/>
          <w:i w:val="0"/>
          <w:color w:val="123B4F"/>
          <w:sz w:val="21"/>
        </w:rPr>
        <w:t xml:space="preserve">Confidential by design: </w:t>
      </w:r>
      <w:r>
        <w:rPr>
          <w:rFonts w:ascii="Calibri" w:hAnsi="Calibri"/>
          <w:b w:val="0"/>
          <w:i w:val="0"/>
          <w:color w:val="1B2A32"/>
          <w:sz w:val="21"/>
        </w:rPr>
        <w:t>Sits inside the confidentiality ring; a party's private data is never exposed to the other.</w:t>
      </w:r>
    </w:p>
    <w:p>
      <w:pPr>
        <w:pStyle w:val="ListBullet"/>
        <w:spacing w:after="60"/>
        <w:jc w:val="both"/>
      </w:pPr>
      <w:r>
        <w:rPr>
          <w:rFonts w:ascii="Calibri" w:hAnsi="Calibri"/>
          <w:b/>
          <w:i w:val="0"/>
          <w:color w:val="123B4F"/>
          <w:sz w:val="21"/>
        </w:rPr>
        <w:t xml:space="preserve">DPDP-compliant: </w:t>
      </w:r>
      <w:r>
        <w:rPr>
          <w:rFonts w:ascii="Calibri" w:hAnsi="Calibri"/>
          <w:b w:val="0"/>
          <w:i w:val="0"/>
          <w:color w:val="1B2A32"/>
          <w:sz w:val="21"/>
        </w:rPr>
        <w:t>Consent, minimisation, no training on personal/commercial data without consent, audit logs.</w:t>
      </w:r>
    </w:p>
    <w:p>
      <w:pPr>
        <w:pStyle w:val="ListBullet"/>
        <w:spacing w:after="60"/>
        <w:jc w:val="both"/>
      </w:pPr>
      <w:r>
        <w:rPr>
          <w:rFonts w:ascii="Calibri" w:hAnsi="Calibri"/>
          <w:b/>
          <w:i w:val="0"/>
          <w:color w:val="123B4F"/>
          <w:sz w:val="21"/>
        </w:rPr>
        <w:t xml:space="preserve">Bias-tested &amp; transparent: </w:t>
      </w:r>
      <w:r>
        <w:rPr>
          <w:rFonts w:ascii="Calibri" w:hAnsi="Calibri"/>
          <w:b w:val="0"/>
          <w:i w:val="0"/>
          <w:color w:val="1B2A32"/>
          <w:sz w:val="21"/>
        </w:rPr>
        <w:t>Evaluated for fairness; users told when interacting with AI; human always reachable.</w:t>
      </w:r>
    </w:p>
    <w:p>
      <w:pPr>
        <w:spacing w:after="4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In arbitration the gravest AI risks are compromising tribunal independence and leaking confidential evidence across the confidentiality ring. The AI never decides, never drafts the tribunal's reasoning, and is walled per party — mirroring the tribunal-secretary limits.</w:t>
            </w:r>
          </w:p>
        </w:tc>
      </w:tr>
    </w:tbl>
    <w:p>
      <w:pPr>
        <w:spacing w:after="120"/>
      </w:pPr>
    </w:p>
    <w:p>
      <w:pPr>
        <w:keepNext/>
        <w:spacing w:before="320" w:after="140"/>
        <w:pBdr>
          <w:bottom w:val="single" w:sz="12" w:space="3" w:color="C6A15B"/>
        </w:pBdr>
      </w:pPr>
      <w:r>
        <w:rPr>
          <w:rFonts w:ascii="Calibri" w:hAnsi="Calibri"/>
          <w:b/>
          <w:i w:val="0"/>
          <w:color w:val="123B4F"/>
          <w:sz w:val="34"/>
        </w:rPr>
        <w:t>37.  Online Dispute Resolution (ODR)</w:t>
      </w:r>
    </w:p>
    <w:p>
      <w:pPr>
        <w:spacing w:after="140"/>
        <w:jc w:val="both"/>
      </w:pPr>
      <w:r>
        <w:rPr>
          <w:rFonts w:ascii="Calibri" w:hAnsi="Calibri"/>
          <w:b w:val="0"/>
          <w:i w:val="0"/>
          <w:color w:val="1B2A32"/>
          <w:sz w:val="21"/>
        </w:rPr>
        <w:t xml:space="preserve">Equator is ODR-native: </w:t>
      </w:r>
      <w:r>
        <w:rPr>
          <w:rFonts w:ascii="Calibri" w:hAnsi="Calibri"/>
          <w:b/>
          <w:i w:val="0"/>
          <w:color w:val="1B2A32"/>
          <w:sz w:val="21"/>
        </w:rPr>
        <w:t>asynchronous</w:t>
      </w:r>
      <w:r>
        <w:rPr>
          <w:rFonts w:ascii="Calibri" w:hAnsi="Calibri"/>
          <w:b w:val="0"/>
          <w:i w:val="0"/>
          <w:color w:val="1B2A32"/>
          <w:sz w:val="21"/>
        </w:rPr>
        <w:t xml:space="preserve"> exchange of pleadings, evidence and offers; </w:t>
      </w:r>
      <w:r>
        <w:rPr>
          <w:rFonts w:ascii="Calibri" w:hAnsi="Calibri"/>
          <w:b/>
          <w:i w:val="0"/>
          <w:color w:val="1B2A32"/>
          <w:sz w:val="21"/>
        </w:rPr>
        <w:t>synchronous</w:t>
      </w:r>
      <w:r>
        <w:rPr>
          <w:rFonts w:ascii="Calibri" w:hAnsi="Calibri"/>
          <w:b w:val="0"/>
          <w:i w:val="0"/>
          <w:color w:val="1B2A32"/>
          <w:sz w:val="21"/>
        </w:rPr>
        <w:t xml:space="preserve"> secure video hearings with document presentation and private breakout rooms; a permissioned </w:t>
      </w:r>
      <w:r>
        <w:rPr>
          <w:rFonts w:ascii="Calibri" w:hAnsi="Calibri"/>
          <w:b/>
          <w:i w:val="0"/>
          <w:color w:val="1B2A32"/>
          <w:sz w:val="21"/>
        </w:rPr>
        <w:t>case room</w:t>
      </w:r>
      <w:r>
        <w:rPr>
          <w:rFonts w:ascii="Calibri" w:hAnsi="Calibri"/>
          <w:b w:val="0"/>
          <w:i w:val="0"/>
          <w:color w:val="1B2A32"/>
          <w:sz w:val="21"/>
        </w:rPr>
        <w:t xml:space="preserve"> holding the record, timetable, orders and award with a tamper-evident audit trail; and </w:t>
      </w:r>
      <w:r>
        <w:rPr>
          <w:rFonts w:ascii="Calibri" w:hAnsi="Calibri"/>
          <w:b/>
          <w:i w:val="0"/>
          <w:color w:val="1B2A32"/>
          <w:sz w:val="21"/>
        </w:rPr>
        <w:t>documents-only</w:t>
      </w:r>
      <w:r>
        <w:rPr>
          <w:rFonts w:ascii="Calibri" w:hAnsi="Calibri"/>
          <w:b w:val="0"/>
          <w:i w:val="0"/>
          <w:color w:val="1B2A32"/>
          <w:sz w:val="21"/>
        </w:rPr>
        <w:t xml:space="preserve"> and expedited modes. The design follows the </w:t>
      </w:r>
      <w:r>
        <w:rPr>
          <w:rFonts w:ascii="Calibri" w:hAnsi="Calibri"/>
          <w:b/>
          <w:i w:val="0"/>
          <w:color w:val="1B2A32"/>
          <w:sz w:val="21"/>
        </w:rPr>
        <w:t>UNCITRAL Technical Notes on ODR</w:t>
      </w:r>
      <w:r>
        <w:rPr>
          <w:rFonts w:ascii="Calibri" w:hAnsi="Calibri"/>
          <w:b w:val="0"/>
          <w:i w:val="0"/>
          <w:color w:val="1B2A32"/>
          <w:sz w:val="21"/>
        </w:rPr>
        <w:t xml:space="preserve"> and India's policy push for ODR, and is ideal for cross-border and multi-city commercial matters.</w:t>
      </w:r>
    </w:p>
    <w:p>
      <w:pPr>
        <w:keepNext/>
        <w:spacing w:before="320" w:after="140"/>
        <w:pBdr>
          <w:bottom w:val="single" w:sz="12" w:space="3" w:color="C6A15B"/>
        </w:pBdr>
      </w:pPr>
      <w:r>
        <w:rPr>
          <w:rFonts w:ascii="Calibri" w:hAnsi="Calibri"/>
          <w:b/>
          <w:i w:val="0"/>
          <w:color w:val="123B4F"/>
          <w:sz w:val="34"/>
        </w:rPr>
        <w:t>38.  Paperless Filing &amp; e-Signature</w:t>
      </w:r>
    </w:p>
    <w:p>
      <w:pPr>
        <w:spacing w:after="140"/>
        <w:jc w:val="both"/>
      </w:pPr>
      <w:r>
        <w:rPr>
          <w:rFonts w:ascii="Calibri" w:hAnsi="Calibri"/>
          <w:b w:val="0"/>
          <w:i w:val="0"/>
          <w:color w:val="1B2A32"/>
          <w:sz w:val="21"/>
        </w:rPr>
        <w:t xml:space="preserve">Every filing — Request for Arbitration, pleadings, ToR, procedural orders, the award and the MSA — can be completed online and executed with </w:t>
      </w:r>
      <w:r>
        <w:rPr>
          <w:rFonts w:ascii="Calibri" w:hAnsi="Calibri"/>
          <w:b/>
          <w:i w:val="0"/>
          <w:color w:val="1B2A32"/>
          <w:sz w:val="21"/>
        </w:rPr>
        <w:t>Aadhaar e-Sign</w:t>
      </w:r>
      <w:r>
        <w:rPr>
          <w:rFonts w:ascii="Calibri" w:hAnsi="Calibri"/>
          <w:b w:val="0"/>
          <w:i w:val="0"/>
          <w:color w:val="1B2A32"/>
          <w:sz w:val="21"/>
        </w:rPr>
        <w:t xml:space="preserve"> or a </w:t>
      </w:r>
      <w:r>
        <w:rPr>
          <w:rFonts w:ascii="Calibri" w:hAnsi="Calibri"/>
          <w:b/>
          <w:i w:val="0"/>
          <w:color w:val="1B2A32"/>
          <w:sz w:val="21"/>
        </w:rPr>
        <w:t>Digital Signature Certificate</w:t>
      </w:r>
      <w:r>
        <w:rPr>
          <w:rFonts w:ascii="Calibri" w:hAnsi="Calibri"/>
          <w:b w:val="0"/>
          <w:i w:val="0"/>
          <w:color w:val="1B2A32"/>
          <w:sz w:val="21"/>
        </w:rPr>
        <w:t>, legally valid under the Information Technology Act, 2000 (s.3A and the Second Schedule), with a full audit trail and Section 65B admissibility. Corporate signatories are verified through KYB with board-authority checks.</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IT Act, 2000 — s.3A and Second Schedule (Aadhaar e-Sign); DSC via licensed CAs; </w:t>
            </w:r>
            <w:r>
              <w:rPr>
                <w:rFonts w:ascii="Calibri" w:hAnsi="Calibri"/>
                <w:b/>
                <w:i w:val="0"/>
                <w:color w:val="1B2A32"/>
                <w:sz w:val="20"/>
              </w:rPr>
              <w:t>s.65B, Bharatiya Sakshya Adhiniyam, 2023 / Indian Evidence Act</w:t>
            </w:r>
            <w:r>
              <w:rPr>
                <w:rFonts w:ascii="Calibri" w:hAnsi="Calibri"/>
                <w:b w:val="0"/>
                <w:i w:val="0"/>
                <w:color w:val="1B2A32"/>
                <w:sz w:val="20"/>
              </w:rPr>
              <w:t xml:space="preserve"> for admissibility of electronic records; an arbitral award may be signed electronically (s.31 read with the IT Act).</w:t>
            </w:r>
          </w:p>
        </w:tc>
      </w:tr>
    </w:tbl>
    <w:p>
      <w:pPr>
        <w:spacing w:after="120"/>
      </w:pPr>
    </w:p>
    <w:p>
      <w:pPr>
        <w:keepNext/>
        <w:spacing w:before="320" w:after="140"/>
        <w:pBdr>
          <w:bottom w:val="single" w:sz="12" w:space="3" w:color="C6A15B"/>
        </w:pBdr>
      </w:pPr>
      <w:r>
        <w:rPr>
          <w:rFonts w:ascii="Calibri" w:hAnsi="Calibri"/>
          <w:b/>
          <w:i w:val="0"/>
          <w:color w:val="123B4F"/>
          <w:sz w:val="34"/>
        </w:rPr>
        <w:t>39.  On-Platform Execution: e-Stamp &amp; Registration</w:t>
      </w:r>
    </w:p>
    <w:p>
      <w:pPr>
        <w:spacing w:after="140"/>
        <w:jc w:val="both"/>
      </w:pPr>
      <w:r>
        <w:rPr>
          <w:rFonts w:ascii="Calibri" w:hAnsi="Calibri"/>
          <w:b w:val="0"/>
          <w:i w:val="0"/>
          <w:color w:val="1B2A32"/>
          <w:sz w:val="21"/>
        </w:rPr>
        <w:t xml:space="preserve">Settlement agreements and, where applicable, awards are </w:t>
      </w:r>
      <w:r>
        <w:rPr>
          <w:rFonts w:ascii="Calibri" w:hAnsi="Calibri"/>
          <w:b/>
          <w:i w:val="0"/>
          <w:color w:val="1B2A32"/>
          <w:sz w:val="21"/>
        </w:rPr>
        <w:t>e-stamped</w:t>
      </w:r>
      <w:r>
        <w:rPr>
          <w:rFonts w:ascii="Calibri" w:hAnsi="Calibri"/>
          <w:b w:val="0"/>
          <w:i w:val="0"/>
          <w:color w:val="1B2A32"/>
          <w:sz w:val="21"/>
        </w:rPr>
        <w:t xml:space="preserve"> on the platform (stamp duty paid digitally via SHCIL), and mediated settlements are </w:t>
      </w:r>
      <w:r>
        <w:rPr>
          <w:rFonts w:ascii="Calibri" w:hAnsi="Calibri"/>
          <w:b/>
          <w:i w:val="0"/>
          <w:color w:val="1B2A32"/>
          <w:sz w:val="21"/>
        </w:rPr>
        <w:t>registered</w:t>
      </w:r>
      <w:r>
        <w:rPr>
          <w:rFonts w:ascii="Calibri" w:hAnsi="Calibri"/>
          <w:b w:val="0"/>
          <w:i w:val="0"/>
          <w:color w:val="1B2A32"/>
          <w:sz w:val="21"/>
        </w:rPr>
        <w:t xml:space="preserve"> (Section 20, Mediation Act). The result is an end-to-end digital journey — file, resolve, sign, stamp, enforce — with paper needed only where a specific court or sub-registrar still requires it. Stamp duty being a state subject, per-state availability is confirmed before a state is switched fully paperless.</w:t>
      </w:r>
    </w:p>
    <w:p>
      <w:pPr>
        <w:keepNext/>
        <w:spacing w:before="320" w:after="140"/>
        <w:pBdr>
          <w:bottom w:val="single" w:sz="12" w:space="3" w:color="C6A15B"/>
        </w:pBdr>
      </w:pPr>
      <w:r>
        <w:rPr>
          <w:rFonts w:ascii="Calibri" w:hAnsi="Calibri"/>
          <w:b/>
          <w:i w:val="0"/>
          <w:color w:val="123B4F"/>
          <w:sz w:val="34"/>
        </w:rPr>
        <w:t>40.  Integration with Courts &amp; Tribunals</w:t>
      </w:r>
    </w:p>
    <w:p>
      <w:pPr>
        <w:spacing w:after="140"/>
        <w:jc w:val="both"/>
      </w:pPr>
      <w:r>
        <w:rPr>
          <w:rFonts w:ascii="Calibri" w:hAnsi="Calibri"/>
          <w:b w:val="0"/>
          <w:i w:val="0"/>
          <w:color w:val="1B2A32"/>
          <w:sz w:val="21"/>
        </w:rPr>
        <w:t xml:space="preserve">Equator interoperates with the judicial and tribunal system in both directions. </w:t>
      </w:r>
      <w:r>
        <w:rPr>
          <w:rFonts w:ascii="Calibri" w:hAnsi="Calibri"/>
          <w:b/>
          <w:i w:val="0"/>
          <w:color w:val="1B2A32"/>
          <w:sz w:val="21"/>
        </w:rPr>
        <w:t>Referral in:</w:t>
      </w:r>
      <w:r>
        <w:rPr>
          <w:rFonts w:ascii="Calibri" w:hAnsi="Calibri"/>
          <w:b w:val="0"/>
          <w:i w:val="0"/>
          <w:color w:val="1B2A32"/>
          <w:sz w:val="21"/>
        </w:rPr>
        <w:t xml:space="preserve"> courts refer parties to arbitration under </w:t>
      </w:r>
      <w:r>
        <w:rPr>
          <w:rFonts w:ascii="Calibri" w:hAnsi="Calibri"/>
          <w:b/>
          <w:i w:val="0"/>
          <w:color w:val="1B2A32"/>
          <w:sz w:val="21"/>
        </w:rPr>
        <w:t>Section 8</w:t>
      </w:r>
      <w:r>
        <w:rPr>
          <w:rFonts w:ascii="Calibri" w:hAnsi="Calibri"/>
          <w:b w:val="0"/>
          <w:i w:val="0"/>
          <w:color w:val="1B2A32"/>
          <w:sz w:val="21"/>
        </w:rPr>
        <w:t xml:space="preserve">, appoint arbitrators under </w:t>
      </w:r>
      <w:r>
        <w:rPr>
          <w:rFonts w:ascii="Calibri" w:hAnsi="Calibri"/>
          <w:b/>
          <w:i w:val="0"/>
          <w:color w:val="1B2A32"/>
          <w:sz w:val="21"/>
        </w:rPr>
        <w:t>Section 11</w:t>
      </w:r>
      <w:r>
        <w:rPr>
          <w:rFonts w:ascii="Calibri" w:hAnsi="Calibri"/>
          <w:b w:val="0"/>
          <w:i w:val="0"/>
          <w:color w:val="1B2A32"/>
          <w:sz w:val="21"/>
        </w:rPr>
        <w:t xml:space="preserve">, and refer commercial suits to </w:t>
      </w:r>
      <w:r>
        <w:rPr>
          <w:rFonts w:ascii="Calibri" w:hAnsi="Calibri"/>
          <w:b/>
          <w:i w:val="0"/>
          <w:color w:val="1B2A32"/>
          <w:sz w:val="21"/>
        </w:rPr>
        <w:t>s.12A</w:t>
      </w:r>
      <w:r>
        <w:rPr>
          <w:rFonts w:ascii="Calibri" w:hAnsi="Calibri"/>
          <w:b w:val="0"/>
          <w:i w:val="0"/>
          <w:color w:val="1B2A32"/>
          <w:sz w:val="21"/>
        </w:rPr>
        <w:t xml:space="preserve"> mediation and under </w:t>
      </w:r>
      <w:r>
        <w:rPr>
          <w:rFonts w:ascii="Calibri" w:hAnsi="Calibri"/>
          <w:b/>
          <w:i w:val="0"/>
          <w:color w:val="1B2A32"/>
          <w:sz w:val="21"/>
        </w:rPr>
        <w:t>Section 89 CPC</w:t>
      </w:r>
      <w:r>
        <w:rPr>
          <w:rFonts w:ascii="Calibri" w:hAnsi="Calibri"/>
          <w:b w:val="0"/>
          <w:i w:val="0"/>
          <w:color w:val="1B2A32"/>
          <w:sz w:val="21"/>
        </w:rPr>
        <w:t xml:space="preserve">. </w:t>
      </w:r>
      <w:r>
        <w:rPr>
          <w:rFonts w:ascii="Calibri" w:hAnsi="Calibri"/>
          <w:b/>
          <w:i w:val="0"/>
          <w:color w:val="1B2A32"/>
          <w:sz w:val="21"/>
        </w:rPr>
        <w:t>Court support flows:</w:t>
      </w:r>
      <w:r>
        <w:rPr>
          <w:rFonts w:ascii="Calibri" w:hAnsi="Calibri"/>
          <w:b w:val="0"/>
          <w:i w:val="0"/>
          <w:color w:val="1B2A32"/>
          <w:sz w:val="21"/>
        </w:rPr>
        <w:t xml:space="preserve"> interim measures under </w:t>
      </w:r>
      <w:r>
        <w:rPr>
          <w:rFonts w:ascii="Calibri" w:hAnsi="Calibri"/>
          <w:b/>
          <w:i w:val="0"/>
          <w:color w:val="1B2A32"/>
          <w:sz w:val="21"/>
        </w:rPr>
        <w:t>Section 9</w:t>
      </w:r>
      <w:r>
        <w:rPr>
          <w:rFonts w:ascii="Calibri" w:hAnsi="Calibri"/>
          <w:b w:val="0"/>
          <w:i w:val="0"/>
          <w:color w:val="1B2A32"/>
          <w:sz w:val="21"/>
        </w:rPr>
        <w:t xml:space="preserve">, and assistance in taking evidence under </w:t>
      </w:r>
      <w:r>
        <w:rPr>
          <w:rFonts w:ascii="Calibri" w:hAnsi="Calibri"/>
          <w:b/>
          <w:i w:val="0"/>
          <w:color w:val="1B2A32"/>
          <w:sz w:val="21"/>
        </w:rPr>
        <w:t>Section 27</w:t>
      </w:r>
      <w:r>
        <w:rPr>
          <w:rFonts w:ascii="Calibri" w:hAnsi="Calibri"/>
          <w:b w:val="0"/>
          <w:i w:val="0"/>
          <w:color w:val="1B2A32"/>
          <w:sz w:val="21"/>
        </w:rPr>
        <w:t xml:space="preserve">. </w:t>
      </w:r>
      <w:r>
        <w:rPr>
          <w:rFonts w:ascii="Calibri" w:hAnsi="Calibri"/>
          <w:b/>
          <w:i w:val="0"/>
          <w:color w:val="1B2A32"/>
          <w:sz w:val="21"/>
        </w:rPr>
        <w:t>Referral out:</w:t>
      </w:r>
      <w:r>
        <w:rPr>
          <w:rFonts w:ascii="Calibri" w:hAnsi="Calibri"/>
          <w:b w:val="0"/>
          <w:i w:val="0"/>
          <w:color w:val="1B2A32"/>
          <w:sz w:val="21"/>
        </w:rPr>
        <w:t xml:space="preserve"> Equator delivers the </w:t>
      </w:r>
      <w:r>
        <w:rPr>
          <w:rFonts w:ascii="Calibri" w:hAnsi="Calibri"/>
          <w:b/>
          <w:i w:val="0"/>
          <w:color w:val="1B2A32"/>
          <w:sz w:val="21"/>
        </w:rPr>
        <w:t>award</w:t>
      </w:r>
      <w:r>
        <w:rPr>
          <w:rFonts w:ascii="Calibri" w:hAnsi="Calibri"/>
          <w:b w:val="0"/>
          <w:i w:val="0"/>
          <w:color w:val="1B2A32"/>
          <w:sz w:val="21"/>
        </w:rPr>
        <w:t xml:space="preserve"> for enforcement as a decree (Section 36), the </w:t>
      </w:r>
      <w:r>
        <w:rPr>
          <w:rFonts w:ascii="Calibri" w:hAnsi="Calibri"/>
          <w:b/>
          <w:i w:val="0"/>
          <w:color w:val="1B2A32"/>
          <w:sz w:val="21"/>
        </w:rPr>
        <w:t>MSA</w:t>
      </w:r>
      <w:r>
        <w:rPr>
          <w:rFonts w:ascii="Calibri" w:hAnsi="Calibri"/>
          <w:b w:val="0"/>
          <w:i w:val="0"/>
          <w:color w:val="1B2A32"/>
          <w:sz w:val="21"/>
        </w:rPr>
        <w:t xml:space="preserve"> for a consent decree, or a </w:t>
      </w:r>
      <w:r>
        <w:rPr>
          <w:rFonts w:ascii="Calibri" w:hAnsi="Calibri"/>
          <w:b/>
          <w:i w:val="0"/>
          <w:color w:val="1B2A32"/>
          <w:sz w:val="21"/>
        </w:rPr>
        <w:t>certificate</w:t>
      </w:r>
      <w:r>
        <w:rPr>
          <w:rFonts w:ascii="Calibri" w:hAnsi="Calibri"/>
          <w:b w:val="0"/>
          <w:i w:val="0"/>
          <w:color w:val="1B2A32"/>
          <w:sz w:val="21"/>
        </w:rPr>
        <w:t xml:space="preserve"> of a completed s.12A attempt. Over time, secure </w:t>
      </w:r>
      <w:r>
        <w:rPr>
          <w:rFonts w:ascii="Calibri" w:hAnsi="Calibri"/>
          <w:b/>
          <w:i w:val="0"/>
          <w:color w:val="1B2A32"/>
          <w:sz w:val="21"/>
        </w:rPr>
        <w:t>e-filing linkage and status sync</w:t>
      </w:r>
      <w:r>
        <w:rPr>
          <w:rFonts w:ascii="Calibri" w:hAnsi="Calibri"/>
          <w:b w:val="0"/>
          <w:i w:val="0"/>
          <w:color w:val="1B2A32"/>
          <w:sz w:val="21"/>
        </w:rPr>
        <w:t xml:space="preserve"> with court and tribunal systems (aligned with the e-Courts programme) let referrals and outcomes flow with consent.</w:t>
      </w:r>
    </w:p>
    <w:p>
      <w:pPr>
        <w:spacing w:before="80" w:after="40"/>
        <w:jc w:val="center"/>
      </w:pPr>
      <w:r>
        <w:drawing>
          <wp:inline xmlns:a="http://schemas.openxmlformats.org/drawingml/2006/main" xmlns:pic="http://schemas.openxmlformats.org/drawingml/2006/picture">
            <wp:extent cx="5669280" cy="893778"/>
            <wp:docPr id="11" name="Picture 11"/>
            <wp:cNvGraphicFramePr>
              <a:graphicFrameLocks noChangeAspect="1"/>
            </wp:cNvGraphicFramePr>
            <a:graphic>
              <a:graphicData uri="http://schemas.openxmlformats.org/drawingml/2006/picture">
                <pic:pic>
                  <pic:nvPicPr>
                    <pic:cNvPr id="0" name="cm09_court_integration.png"/>
                    <pic:cNvPicPr/>
                  </pic:nvPicPr>
                  <pic:blipFill>
                    <a:blip r:embed="rId18"/>
                    <a:stretch>
                      <a:fillRect/>
                    </a:stretch>
                  </pic:blipFill>
                  <pic:spPr>
                    <a:xfrm>
                      <a:off x="0" y="0"/>
                      <a:ext cx="5669280" cy="893778"/>
                    </a:xfrm>
                    <a:prstGeom prst="rect"/>
                  </pic:spPr>
                </pic:pic>
              </a:graphicData>
            </a:graphic>
          </wp:inline>
        </w:drawing>
      </w:r>
    </w:p>
    <w:p>
      <w:pPr>
        <w:spacing w:before="20" w:after="200"/>
        <w:jc w:val="center"/>
      </w:pPr>
      <w:r>
        <w:rPr>
          <w:rFonts w:ascii="Calibri" w:hAnsi="Calibri"/>
          <w:b w:val="0"/>
          <w:i/>
          <w:color w:val="556168"/>
          <w:sz w:val="17"/>
        </w:rPr>
        <w:t>Figure 11 — Two-way integration with commercial courts, High Courts and the NCLT.</w:t>
      </w:r>
    </w:p>
    <w:p>
      <w:r>
        <w:br w:type="page"/>
      </w:r>
    </w:p>
    <w:p>
      <w:pPr>
        <w:spacing w:before="600" w:after="40"/>
      </w:pPr>
      <w:r>
        <w:rPr>
          <w:rFonts w:ascii="Calibri" w:hAnsi="Calibri"/>
          <w:b/>
          <w:i w:val="0"/>
          <w:color w:val="C6A15B"/>
          <w:sz w:val="26"/>
        </w:rPr>
        <w:t>PART G</w:t>
      </w:r>
    </w:p>
    <w:p>
      <w:pPr>
        <w:spacing w:after="200"/>
        <w:pBdr>
          <w:bottom w:val="single" w:sz="18" w:space="3" w:color="1E7A8C"/>
        </w:pBdr>
      </w:pPr>
      <w:r>
        <w:rPr>
          <w:rFonts w:ascii="Calibri" w:hAnsi="Calibri"/>
          <w:b/>
          <w:i w:val="0"/>
          <w:color w:val="123B4F"/>
          <w:sz w:val="46"/>
        </w:rPr>
        <w:t>Annexures</w:t>
      </w:r>
    </w:p>
    <w:p>
      <w:pPr>
        <w:keepNext/>
        <w:spacing w:before="320" w:after="140"/>
        <w:pBdr>
          <w:bottom w:val="single" w:sz="12" w:space="3" w:color="C6A15B"/>
        </w:pBdr>
      </w:pPr>
      <w:r>
        <w:rPr>
          <w:rFonts w:ascii="Calibri" w:hAnsi="Calibri"/>
          <w:b/>
          <w:i w:val="0"/>
          <w:color w:val="123B4F"/>
          <w:sz w:val="34"/>
        </w:rPr>
        <w:t>Annexure A — Consolidated Legal Authorities</w:t>
      </w:r>
    </w:p>
    <w:p>
      <w:pPr>
        <w:keepNext/>
        <w:spacing w:before="220" w:after="80"/>
      </w:pPr>
      <w:r>
        <w:rPr>
          <w:rFonts w:ascii="Calibri" w:hAnsi="Calibri"/>
          <w:b/>
          <w:i w:val="0"/>
          <w:color w:val="1E7A8C"/>
          <w:sz w:val="26"/>
        </w:rPr>
        <w:t>Statutes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6"/>
              </w:rPr>
              <w:t>Instrument</w:t>
            </w:r>
          </w:p>
        </w:tc>
        <w:tc>
          <w:tcPr>
            <w:tcW w:type="dxa" w:w="6273"/>
            <w:shd w:val="clear" w:color="auto" w:fill="123B4F"/>
            <w:tcMar>
              <w:top w:w="60" w:type="dxa"/>
              <w:bottom w:w="60" w:type="dxa"/>
              <w:start w:w="110" w:type="dxa"/>
              <w:end w:w="110" w:type="dxa"/>
            </w:tcMar>
          </w:tcPr>
          <w:p>
            <w:pPr>
              <w:spacing w:after="0"/>
            </w:pPr>
            <w:r>
              <w:rPr>
                <w:rFonts w:ascii="Calibri" w:hAnsi="Calibri"/>
                <w:b/>
                <w:i w:val="0"/>
                <w:color w:val="FFFFFF"/>
                <w:sz w:val="16"/>
              </w:rPr>
              <w:t>Relevance</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Arbitration &amp; Conciliation Act, 1996</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Arbitration end-to-end: agreement (s.7), reference (s.8), interim (s.9/s.17), appointment (s.11), disclosure (s.12 + Schedules), kompetenz (s.16), pleadings (s.23), timeline (s.29A/29B), award (s.31), set-aside (s.34), enforcement (s.36), foreign awards (Part II)</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Draft Arbitration &amp; Conciliation (Amendment) Bill, 2024</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Institutional arbitration; emergency arbitration (s.9A); partial set-aside; appellate arbitration; Arbitration Council of India</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Mediation Act, 2023</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Mediation framework; MSA (s.19); registration (s.20); enforceable as decree (s.27)</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Commercial Courts Act, 2015</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Mandatory pre-institution mediation (s.12A); specified value; commercial courts</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MSMED Act, 2006</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Delayed-payment regime: 45-day payment (s.15), interest (s.16), MSEFC conciliation/arbitration (s.18), 75% pre-deposit (s.19)</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Companies Act, 2013</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Oppression &amp; mismanagement (ss.241–242, NCLT); class action (s.245)</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Insolvency &amp; Bankruptcy Code, 2016</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Insolvency (non-arbitrable); NCLT jurisdiction</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Indian Contract Act 1872; Sale of Goods Act 1930; Specific Relief Act 1963</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Substantive commercial law; escrow basis</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IT Act, 2000; DPDP Act, 2023 &amp; Rules 2025</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e-Sign/e-record; data protection</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New York Convention (1958); Singapore Convention (2019)</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Foreign-award enforcement; cross-border mediated settlements (India signed, not ratified)</w:t>
            </w:r>
          </w:p>
        </w:tc>
      </w:tr>
    </w:tbl>
    <w:p>
      <w:pPr>
        <w:spacing w:after="80"/>
      </w:pPr>
    </w:p>
    <w:p>
      <w:pPr>
        <w:spacing w:before="20" w:after="200"/>
        <w:jc w:val="center"/>
      </w:pPr>
      <w:r>
        <w:rPr>
          <w:rFonts w:ascii="Calibri" w:hAnsi="Calibri"/>
          <w:b w:val="0"/>
          <w:i/>
          <w:color w:val="556168"/>
          <w:sz w:val="17"/>
        </w:rPr>
        <w:t>Table A-1 — Governing statutes and instruments.</w:t>
      </w:r>
    </w:p>
    <w:p>
      <w:pPr>
        <w:keepNext/>
        <w:spacing w:before="220" w:after="80"/>
      </w:pPr>
      <w:r>
        <w:rPr>
          <w:rFonts w:ascii="Calibri" w:hAnsi="Calibri"/>
          <w:b/>
          <w:i w:val="0"/>
          <w:color w:val="1E7A8C"/>
          <w:sz w:val="26"/>
        </w:rPr>
        <w:t>Leading judgments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6"/>
              </w:rPr>
              <w:t>Case</w:t>
            </w:r>
          </w:p>
        </w:tc>
        <w:tc>
          <w:tcPr>
            <w:tcW w:type="dxa" w:w="5512"/>
            <w:shd w:val="clear" w:color="auto" w:fill="123B4F"/>
            <w:tcMar>
              <w:top w:w="60" w:type="dxa"/>
              <w:bottom w:w="60" w:type="dxa"/>
              <w:start w:w="110" w:type="dxa"/>
              <w:end w:w="110" w:type="dxa"/>
            </w:tcMar>
          </w:tcPr>
          <w:p>
            <w:pPr>
              <w:spacing w:after="0"/>
            </w:pPr>
            <w:r>
              <w:rPr>
                <w:rFonts w:ascii="Calibri" w:hAnsi="Calibri"/>
                <w:b/>
                <w:i w:val="0"/>
                <w:color w:val="FFFFFF"/>
                <w:sz w:val="16"/>
              </w:rPr>
              <w:t>Proposition</w:t>
            </w:r>
          </w:p>
        </w:tc>
      </w:tr>
      <w:tr>
        <w:trPr>
          <w:trHeight w:val="0"/>
        </w:trPr>
        <w:tc>
          <w:tcPr>
            <w:tcW w:type="dxa" w:w="3992"/>
            <w:tcMar>
              <w:top w:w="60" w:type="dxa"/>
              <w:bottom w:w="60" w:type="dxa"/>
              <w:start w:w="110" w:type="dxa"/>
              <w:end w:w="110" w:type="dxa"/>
            </w:tcMar>
          </w:tcPr>
          <w:p>
            <w:pPr>
              <w:spacing w:after="0"/>
              <w:jc w:val="left"/>
            </w:pPr>
            <w:r>
              <w:rPr>
                <w:rFonts w:ascii="Calibri" w:hAnsi="Calibri"/>
                <w:b w:val="0"/>
                <w:i w:val="0"/>
                <w:color w:val="1B2A32"/>
                <w:sz w:val="16"/>
              </w:rPr>
              <w:t>Vidya Drolia v. Durga Trading Corporation, (2021) 2 SCC 1</w:t>
            </w:r>
          </w:p>
        </w:tc>
        <w:tc>
          <w:tcPr>
            <w:tcW w:type="dxa" w:w="5512"/>
            <w:tcMar>
              <w:top w:w="60" w:type="dxa"/>
              <w:bottom w:w="60" w:type="dxa"/>
              <w:start w:w="110" w:type="dxa"/>
              <w:end w:w="110" w:type="dxa"/>
            </w:tcMar>
          </w:tcPr>
          <w:p>
            <w:pPr>
              <w:spacing w:after="0"/>
              <w:jc w:val="left"/>
            </w:pPr>
            <w:r>
              <w:rPr>
                <w:rFonts w:ascii="Calibri" w:hAnsi="Calibri"/>
                <w:b w:val="0"/>
                <w:i w:val="0"/>
                <w:color w:val="1B2A32"/>
                <w:sz w:val="16"/>
              </w:rPr>
              <w:t>Four-fold test for non-arbitrability; prima-facie review at s.8/s.11</w:t>
            </w:r>
          </w:p>
        </w:tc>
      </w:tr>
      <w:tr>
        <w:trPr>
          <w:trHeight w:val="0"/>
        </w:trPr>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M/s Patil Automation v. Rakheja Engineers, (2022) 10 SCC 1</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s.12A pre-institution mediation is mandatory; plaint liable to rejection</w:t>
            </w:r>
          </w:p>
        </w:tc>
      </w:tr>
      <w:tr>
        <w:trPr>
          <w:trHeight w:val="0"/>
        </w:trPr>
        <w:tc>
          <w:tcPr>
            <w:tcW w:type="dxa" w:w="3992"/>
            <w:tcMar>
              <w:top w:w="60" w:type="dxa"/>
              <w:bottom w:w="60" w:type="dxa"/>
              <w:start w:w="110" w:type="dxa"/>
              <w:end w:w="110" w:type="dxa"/>
            </w:tcMar>
          </w:tcPr>
          <w:p>
            <w:pPr>
              <w:spacing w:after="0"/>
              <w:jc w:val="left"/>
            </w:pPr>
            <w:r>
              <w:rPr>
                <w:rFonts w:ascii="Calibri" w:hAnsi="Calibri"/>
                <w:b w:val="0"/>
                <w:i w:val="0"/>
                <w:color w:val="1B2A32"/>
                <w:sz w:val="16"/>
              </w:rPr>
              <w:t>Amazon.com NV Investment Holdings v. Future Retail, (2022) 1 SCC 209</w:t>
            </w:r>
          </w:p>
        </w:tc>
        <w:tc>
          <w:tcPr>
            <w:tcW w:type="dxa" w:w="5512"/>
            <w:tcMar>
              <w:top w:w="60" w:type="dxa"/>
              <w:bottom w:w="60" w:type="dxa"/>
              <w:start w:w="110" w:type="dxa"/>
              <w:end w:w="110" w:type="dxa"/>
            </w:tcMar>
          </w:tcPr>
          <w:p>
            <w:pPr>
              <w:spacing w:after="0"/>
              <w:jc w:val="left"/>
            </w:pPr>
            <w:r>
              <w:rPr>
                <w:rFonts w:ascii="Calibri" w:hAnsi="Calibri"/>
                <w:b w:val="0"/>
                <w:i w:val="0"/>
                <w:color w:val="1B2A32"/>
                <w:sz w:val="16"/>
              </w:rPr>
              <w:t>Emergency arbitrator's award enforceable in India-seated arbitration</w:t>
            </w:r>
          </w:p>
        </w:tc>
      </w:tr>
      <w:tr>
        <w:trPr>
          <w:trHeight w:val="0"/>
        </w:trPr>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BALCO v. Kaiser Aluminium, (2012) 9 SCC 552</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Seat of arbitration; Part I/Part II demarcation</w:t>
            </w:r>
          </w:p>
        </w:tc>
      </w:tr>
      <w:tr>
        <w:trPr>
          <w:trHeight w:val="0"/>
        </w:trPr>
        <w:tc>
          <w:tcPr>
            <w:tcW w:type="dxa" w:w="3992"/>
            <w:tcMar>
              <w:top w:w="60" w:type="dxa"/>
              <w:bottom w:w="60" w:type="dxa"/>
              <w:start w:w="110" w:type="dxa"/>
              <w:end w:w="110" w:type="dxa"/>
            </w:tcMar>
          </w:tcPr>
          <w:p>
            <w:pPr>
              <w:spacing w:after="0"/>
              <w:jc w:val="left"/>
            </w:pPr>
            <w:r>
              <w:rPr>
                <w:rFonts w:ascii="Calibri" w:hAnsi="Calibri"/>
                <w:b w:val="0"/>
                <w:i w:val="0"/>
                <w:color w:val="1B2A32"/>
                <w:sz w:val="16"/>
              </w:rPr>
              <w:t>BCCI v. Kochi Cricket, (2018) 6 SCC 287</w:t>
            </w:r>
          </w:p>
        </w:tc>
        <w:tc>
          <w:tcPr>
            <w:tcW w:type="dxa" w:w="5512"/>
            <w:tcMar>
              <w:top w:w="60" w:type="dxa"/>
              <w:bottom w:w="60" w:type="dxa"/>
              <w:start w:w="110" w:type="dxa"/>
              <w:end w:w="110" w:type="dxa"/>
            </w:tcMar>
          </w:tcPr>
          <w:p>
            <w:pPr>
              <w:spacing w:after="0"/>
              <w:jc w:val="left"/>
            </w:pPr>
            <w:r>
              <w:rPr>
                <w:rFonts w:ascii="Calibri" w:hAnsi="Calibri"/>
                <w:b w:val="0"/>
                <w:i w:val="0"/>
                <w:color w:val="1B2A32"/>
                <w:sz w:val="16"/>
              </w:rPr>
              <w:t>s.36 — no automatic stay of enforcement on a s.34 challenge</w:t>
            </w:r>
          </w:p>
        </w:tc>
      </w:tr>
      <w:tr>
        <w:trPr>
          <w:trHeight w:val="0"/>
        </w:trPr>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Perkins Eastman v. HSCC, (2020) 20 SCC 760</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 party interested in the outcome cannot unilaterally appoint the sole arbitrator</w:t>
            </w:r>
          </w:p>
        </w:tc>
      </w:tr>
      <w:tr>
        <w:trPr>
          <w:trHeight w:val="0"/>
        </w:trPr>
        <w:tc>
          <w:tcPr>
            <w:tcW w:type="dxa" w:w="3992"/>
            <w:tcMar>
              <w:top w:w="60" w:type="dxa"/>
              <w:bottom w:w="60" w:type="dxa"/>
              <w:start w:w="110" w:type="dxa"/>
              <w:end w:w="110" w:type="dxa"/>
            </w:tcMar>
          </w:tcPr>
          <w:p>
            <w:pPr>
              <w:spacing w:after="0"/>
              <w:jc w:val="left"/>
            </w:pPr>
            <w:r>
              <w:rPr>
                <w:rFonts w:ascii="Calibri" w:hAnsi="Calibri"/>
                <w:b w:val="0"/>
                <w:i w:val="0"/>
                <w:color w:val="1B2A32"/>
                <w:sz w:val="16"/>
              </w:rPr>
              <w:t>Cox &amp; Kings v. SAP India, 2023 INSC 1051</w:t>
            </w:r>
          </w:p>
        </w:tc>
        <w:tc>
          <w:tcPr>
            <w:tcW w:type="dxa" w:w="5512"/>
            <w:tcMar>
              <w:top w:w="60" w:type="dxa"/>
              <w:bottom w:w="60" w:type="dxa"/>
              <w:start w:w="110" w:type="dxa"/>
              <w:end w:w="110" w:type="dxa"/>
            </w:tcMar>
          </w:tcPr>
          <w:p>
            <w:pPr>
              <w:spacing w:after="0"/>
              <w:jc w:val="left"/>
            </w:pPr>
            <w:r>
              <w:rPr>
                <w:rFonts w:ascii="Calibri" w:hAnsi="Calibri"/>
                <w:b w:val="0"/>
                <w:i w:val="0"/>
                <w:color w:val="1B2A32"/>
                <w:sz w:val="16"/>
              </w:rPr>
              <w:t>Group-of-companies doctrine — non-signatories may be bound</w:t>
            </w:r>
          </w:p>
        </w:tc>
      </w:tr>
      <w:tr>
        <w:trPr>
          <w:trHeight w:val="0"/>
        </w:trPr>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Booz Allen v. SBI Home Finance, (2011) 5 SCC 532</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Early statement of non-arbitrable categories (rights in rem)</w:t>
            </w:r>
          </w:p>
        </w:tc>
      </w:tr>
    </w:tbl>
    <w:p>
      <w:pPr>
        <w:spacing w:after="80"/>
      </w:pPr>
    </w:p>
    <w:p>
      <w:pPr>
        <w:spacing w:before="20" w:after="200"/>
        <w:jc w:val="center"/>
      </w:pPr>
      <w:r>
        <w:rPr>
          <w:rFonts w:ascii="Calibri" w:hAnsi="Calibri"/>
          <w:b w:val="0"/>
          <w:i/>
          <w:color w:val="556168"/>
          <w:sz w:val="17"/>
        </w:rPr>
        <w:t>Table A-2 — Leading commercial-arbitration authorities.</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Citations current as of July 2026; verify neutral citations and track the Arbitration Amendment Bill, 2024 and Arbitration Council of India developments before filing.</w:t>
            </w:r>
          </w:p>
        </w:tc>
      </w:tr>
    </w:tbl>
    <w:p>
      <w:pPr>
        <w:spacing w:after="120"/>
      </w:pPr>
    </w:p>
    <w:p>
      <w:pPr>
        <w:keepNext/>
        <w:spacing w:before="320" w:after="140"/>
        <w:pBdr>
          <w:bottom w:val="single" w:sz="12" w:space="3" w:color="C6A15B"/>
        </w:pBdr>
      </w:pPr>
      <w:r>
        <w:rPr>
          <w:rFonts w:ascii="Calibri" w:hAnsi="Calibri"/>
          <w:b/>
          <w:i w:val="0"/>
          <w:color w:val="123B4F"/>
          <w:sz w:val="34"/>
        </w:rPr>
        <w:t>Annexure B — Dispute Taxonomy Matrix</w:t>
      </w:r>
    </w:p>
    <w:p>
      <w:pPr>
        <w:spacing w:after="140"/>
        <w:jc w:val="both"/>
      </w:pPr>
      <w:r>
        <w:rPr>
          <w:rFonts w:ascii="Calibri" w:hAnsi="Calibri"/>
          <w:b w:val="0"/>
          <w:i w:val="0"/>
          <w:color w:val="1B2A32"/>
          <w:sz w:val="21"/>
        </w:rPr>
        <w:t xml:space="preserve">The complete Dispute-type → issue → mechanism → applicable-law → relief → forms → arbitrability matrix is delivered in the </w:t>
      </w:r>
      <w:r>
        <w:rPr>
          <w:rFonts w:ascii="Calibri" w:hAnsi="Calibri"/>
          <w:b/>
          <w:i w:val="0"/>
          <w:color w:val="1B2A32"/>
          <w:sz w:val="21"/>
        </w:rPr>
        <w:t>Developer Workbook</w:t>
      </w:r>
      <w:r>
        <w:rPr>
          <w:rFonts w:ascii="Calibri" w:hAnsi="Calibri"/>
          <w:b w:val="0"/>
          <w:i w:val="0"/>
          <w:color w:val="1B2A32"/>
          <w:sz w:val="21"/>
        </w:rPr>
        <w:t xml:space="preserve"> (sheet: 'Dispute Taxonomy'); Table 2 is the abbreviated view.</w:t>
      </w:r>
    </w:p>
    <w:p>
      <w:pPr>
        <w:keepNext/>
        <w:spacing w:before="320" w:after="140"/>
        <w:pBdr>
          <w:bottom w:val="single" w:sz="12" w:space="3" w:color="C6A15B"/>
        </w:pBdr>
      </w:pPr>
      <w:r>
        <w:rPr>
          <w:rFonts w:ascii="Calibri" w:hAnsi="Calibri"/>
          <w:b/>
          <w:i w:val="0"/>
          <w:color w:val="123B4F"/>
          <w:sz w:val="34"/>
        </w:rPr>
        <w:t>Annexure C — Glossary</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Term</w:t>
            </w:r>
          </w:p>
        </w:tc>
        <w:tc>
          <w:tcPr>
            <w:tcW w:type="dxa" w:w="7033"/>
            <w:shd w:val="clear" w:color="auto" w:fill="123B4F"/>
            <w:tcMar>
              <w:top w:w="60" w:type="dxa"/>
              <w:bottom w:w="60" w:type="dxa"/>
              <w:start w:w="110" w:type="dxa"/>
              <w:end w:w="110" w:type="dxa"/>
            </w:tcMar>
          </w:tcPr>
          <w:p>
            <w:pPr>
              <w:spacing w:after="0"/>
            </w:pPr>
            <w:r>
              <w:rPr>
                <w:rFonts w:ascii="Calibri" w:hAnsi="Calibri"/>
                <w:b/>
                <w:i w:val="0"/>
                <w:color w:val="FFFFFF"/>
                <w:sz w:val="17"/>
              </w:rPr>
              <w:t>Meaning</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7"/>
              </w:rPr>
              <w:t>Seat / venue</w:t>
            </w:r>
          </w:p>
        </w:tc>
        <w:tc>
          <w:tcPr>
            <w:tcW w:type="dxa" w:w="7033"/>
            <w:tcMar>
              <w:top w:w="60" w:type="dxa"/>
              <w:bottom w:w="60" w:type="dxa"/>
              <w:start w:w="110" w:type="dxa"/>
              <w:end w:w="110" w:type="dxa"/>
            </w:tcMar>
          </w:tcPr>
          <w:p>
            <w:pPr>
              <w:spacing w:after="0"/>
              <w:jc w:val="left"/>
            </w:pPr>
            <w:r>
              <w:rPr>
                <w:rFonts w:ascii="Calibri" w:hAnsi="Calibri"/>
                <w:b w:val="0"/>
                <w:i w:val="0"/>
                <w:color w:val="1B2A32"/>
                <w:sz w:val="17"/>
              </w:rPr>
              <w:t>The legal home of the arbitration (seat) vs the physical location of hearings (venue)</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Kompetenz-kompetenz</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The tribunal's power to rule on its own jurisdiction (s.16)</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7"/>
              </w:rPr>
              <w:t>ToR / PO-1</w:t>
            </w:r>
          </w:p>
        </w:tc>
        <w:tc>
          <w:tcPr>
            <w:tcW w:type="dxa" w:w="7033"/>
            <w:tcMar>
              <w:top w:w="60" w:type="dxa"/>
              <w:bottom w:w="60" w:type="dxa"/>
              <w:start w:w="110" w:type="dxa"/>
              <w:end w:w="110" w:type="dxa"/>
            </w:tcMar>
          </w:tcPr>
          <w:p>
            <w:pPr>
              <w:spacing w:after="0"/>
              <w:jc w:val="left"/>
            </w:pPr>
            <w:r>
              <w:rPr>
                <w:rFonts w:ascii="Calibri" w:hAnsi="Calibri"/>
                <w:b w:val="0"/>
                <w:i w:val="0"/>
                <w:color w:val="1B2A32"/>
                <w:sz w:val="17"/>
              </w:rPr>
              <w:t>Terms of Reference / Procedural Order No. 1 — the case's scope and timetable</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Consent award</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An award recording a settlement reached during arbitration (s.30)</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7"/>
              </w:rPr>
              <w:t>Emergency arbitrator</w:t>
            </w:r>
          </w:p>
        </w:tc>
        <w:tc>
          <w:tcPr>
            <w:tcW w:type="dxa" w:w="7033"/>
            <w:tcMar>
              <w:top w:w="60" w:type="dxa"/>
              <w:bottom w:w="60" w:type="dxa"/>
              <w:start w:w="110" w:type="dxa"/>
              <w:end w:w="110" w:type="dxa"/>
            </w:tcMar>
          </w:tcPr>
          <w:p>
            <w:pPr>
              <w:spacing w:after="0"/>
              <w:jc w:val="left"/>
            </w:pPr>
            <w:r>
              <w:rPr>
                <w:rFonts w:ascii="Calibri" w:hAnsi="Calibri"/>
                <w:b w:val="0"/>
                <w:i w:val="0"/>
                <w:color w:val="1B2A32"/>
                <w:sz w:val="17"/>
              </w:rPr>
              <w:t>A neutral who grants urgent relief before the main tribunal is constituted</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Ad valorem</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Fees scaled to the amount in dispute</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7"/>
              </w:rPr>
              <w:t>Section 12A</w:t>
            </w:r>
          </w:p>
        </w:tc>
        <w:tc>
          <w:tcPr>
            <w:tcW w:type="dxa" w:w="7033"/>
            <w:tcMar>
              <w:top w:w="60" w:type="dxa"/>
              <w:bottom w:w="60" w:type="dxa"/>
              <w:start w:w="110" w:type="dxa"/>
              <w:end w:w="110" w:type="dxa"/>
            </w:tcMar>
          </w:tcPr>
          <w:p>
            <w:pPr>
              <w:spacing w:after="0"/>
              <w:jc w:val="left"/>
            </w:pPr>
            <w:r>
              <w:rPr>
                <w:rFonts w:ascii="Calibri" w:hAnsi="Calibri"/>
                <w:b w:val="0"/>
                <w:i w:val="0"/>
                <w:color w:val="1B2A32"/>
                <w:sz w:val="17"/>
              </w:rPr>
              <w:t>Mandatory pre-institution mediation for commercial suits</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MSEFC / Samadhaan</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MSE Facilitation Council / the MSME delayed-payment portal</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7"/>
              </w:rPr>
              <w:t>Set-aside (s.34)</w:t>
            </w:r>
          </w:p>
        </w:tc>
        <w:tc>
          <w:tcPr>
            <w:tcW w:type="dxa" w:w="7033"/>
            <w:tcMar>
              <w:top w:w="60" w:type="dxa"/>
              <w:bottom w:w="60" w:type="dxa"/>
              <w:start w:w="110" w:type="dxa"/>
              <w:end w:w="110" w:type="dxa"/>
            </w:tcMar>
          </w:tcPr>
          <w:p>
            <w:pPr>
              <w:spacing w:after="0"/>
              <w:jc w:val="left"/>
            </w:pPr>
            <w:r>
              <w:rPr>
                <w:rFonts w:ascii="Calibri" w:hAnsi="Calibri"/>
                <w:b w:val="0"/>
                <w:i w:val="0"/>
                <w:color w:val="1B2A32"/>
                <w:sz w:val="17"/>
              </w:rPr>
              <w:t>Application to annul an award on limited grounds</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New York Convention</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Treaty for enforcement of foreign arbitral awards</w:t>
            </w:r>
          </w:p>
        </w:tc>
      </w:tr>
    </w:tbl>
    <w:p>
      <w:pPr>
        <w:spacing w:after="80"/>
      </w:pPr>
    </w:p>
    <w:p>
      <w:pPr>
        <w:spacing w:before="20" w:after="200"/>
        <w:jc w:val="center"/>
      </w:pPr>
      <w:r>
        <w:rPr>
          <w:rFonts w:ascii="Calibri" w:hAnsi="Calibri"/>
          <w:b w:val="0"/>
          <w:i/>
          <w:color w:val="556168"/>
          <w:sz w:val="17"/>
        </w:rPr>
        <w:t>Table C-1 — Glossary.</w:t>
      </w:r>
    </w:p>
    <w:p>
      <w:pPr>
        <w:keepNext/>
        <w:spacing w:before="320" w:after="140"/>
        <w:pBdr>
          <w:bottom w:val="single" w:sz="12" w:space="3" w:color="C6A15B"/>
        </w:pBdr>
      </w:pPr>
      <w:r>
        <w:rPr>
          <w:rFonts w:ascii="Calibri" w:hAnsi="Calibri"/>
          <w:b/>
          <w:i w:val="0"/>
          <w:color w:val="123B4F"/>
          <w:sz w:val="34"/>
        </w:rPr>
        <w:t>Annexure D — Companion Deliverables</w:t>
      </w:r>
    </w:p>
    <w:p>
      <w:pPr>
        <w:pStyle w:val="ListBullet"/>
        <w:spacing w:after="60"/>
        <w:jc w:val="both"/>
      </w:pPr>
      <w:r>
        <w:rPr>
          <w:rFonts w:ascii="Calibri" w:hAnsi="Calibri"/>
          <w:b/>
          <w:i w:val="0"/>
          <w:color w:val="123B4F"/>
          <w:sz w:val="21"/>
        </w:rPr>
        <w:t xml:space="preserve">Forms (Part H): </w:t>
      </w:r>
      <w:r>
        <w:rPr>
          <w:rFonts w:ascii="Calibri" w:hAnsi="Calibri"/>
          <w:b w:val="0"/>
          <w:i w:val="0"/>
          <w:color w:val="1B2A32"/>
          <w:sz w:val="21"/>
        </w:rPr>
        <w:t>20 commercial forms (F-C01–F-C20) in Part H and as standalone documents in the archive.</w:t>
      </w:r>
    </w:p>
    <w:p>
      <w:pPr>
        <w:pStyle w:val="ListBullet"/>
        <w:spacing w:after="60"/>
        <w:jc w:val="both"/>
      </w:pPr>
      <w:r>
        <w:rPr>
          <w:rFonts w:ascii="Calibri" w:hAnsi="Calibri"/>
          <w:b/>
          <w:i w:val="0"/>
          <w:color w:val="123B4F"/>
          <w:sz w:val="21"/>
        </w:rPr>
        <w:t xml:space="preserve">Developer Workbook: </w:t>
      </w:r>
      <w:r>
        <w:rPr>
          <w:rFonts w:ascii="Calibri" w:hAnsi="Calibri"/>
          <w:b w:val="0"/>
          <w:i w:val="0"/>
          <w:color w:val="1B2A32"/>
          <w:sz w:val="21"/>
        </w:rPr>
        <w:t>dropdowns, taxonomy, form schemas, neutral filters, workflow states, SLAs, API, integrations, PII map, AI features, KPIs — with live data-validation.</w:t>
      </w:r>
    </w:p>
    <w:p>
      <w:pPr>
        <w:pStyle w:val="ListBullet"/>
        <w:spacing w:after="60"/>
        <w:jc w:val="both"/>
      </w:pPr>
      <w:r>
        <w:rPr>
          <w:rFonts w:ascii="Calibri" w:hAnsi="Calibri"/>
          <w:b/>
          <w:i w:val="0"/>
          <w:color w:val="123B4F"/>
          <w:sz w:val="21"/>
        </w:rPr>
        <w:t xml:space="preserve">Diagram set: </w:t>
      </w:r>
      <w:r>
        <w:rPr>
          <w:rFonts w:ascii="Calibri" w:hAnsi="Calibri"/>
          <w:b w:val="0"/>
          <w:i w:val="0"/>
          <w:color w:val="1B2A32"/>
          <w:sz w:val="21"/>
        </w:rPr>
        <w:t>10 diagrams (arbitration lifecycle, s.12A, MSME, arbitrability, appointment, enforcement, escrow, AI, court integration, timeline) as PNG + SVG.</w:t>
      </w:r>
    </w:p>
    <w:p>
      <w:pPr>
        <w:pStyle w:val="ListBullet"/>
        <w:spacing w:after="60"/>
        <w:jc w:val="both"/>
      </w:pPr>
      <w:r>
        <w:rPr>
          <w:rFonts w:ascii="Calibri" w:hAnsi="Calibri"/>
          <w:b/>
          <w:i w:val="0"/>
          <w:color w:val="123B4F"/>
          <w:sz w:val="21"/>
        </w:rPr>
        <w:t xml:space="preserve">Calculators: </w:t>
      </w:r>
      <w:r>
        <w:rPr>
          <w:rFonts w:ascii="Calibri" w:hAnsi="Calibri"/>
          <w:b w:val="0"/>
          <w:i w:val="0"/>
          <w:color w:val="1B2A32"/>
          <w:sz w:val="21"/>
        </w:rPr>
        <w:t>claim-value fee estimator and MSME delayed-payment interest calculator.</w:t>
      </w:r>
    </w:p>
    <w:p>
      <w:pPr>
        <w:pStyle w:val="ListBullet"/>
        <w:spacing w:after="60"/>
        <w:jc w:val="both"/>
      </w:pPr>
      <w:r>
        <w:rPr>
          <w:rFonts w:ascii="Calibri" w:hAnsi="Calibri"/>
          <w:b/>
          <w:i w:val="0"/>
          <w:color w:val="123B4F"/>
          <w:sz w:val="21"/>
        </w:rPr>
        <w:t xml:space="preserve">Board deck, toolkit, compliance &amp; outreach: </w:t>
      </w:r>
      <w:r>
        <w:rPr>
          <w:rFonts w:ascii="Calibri" w:hAnsi="Calibri"/>
          <w:b w:val="0"/>
          <w:i w:val="0"/>
          <w:color w:val="1B2A32"/>
          <w:sz w:val="21"/>
        </w:rPr>
        <w:t>as per the family package, adapted for commercial.</w:t>
      </w:r>
    </w:p>
    <w:p>
      <w:pPr>
        <w:spacing w:after="40"/>
      </w:pPr>
    </w:p>
    <w:p>
      <w:pPr>
        <w:keepNext/>
        <w:spacing w:before="320" w:after="140"/>
        <w:pBdr>
          <w:bottom w:val="single" w:sz="12" w:space="3" w:color="C6A15B"/>
        </w:pBdr>
      </w:pPr>
      <w:r>
        <w:rPr>
          <w:rFonts w:ascii="Calibri" w:hAnsi="Calibri"/>
          <w:b/>
          <w:i w:val="0"/>
          <w:color w:val="123B4F"/>
          <w:sz w:val="34"/>
        </w:rPr>
        <w:t>Annexure E — Model Clause Library</w:t>
      </w:r>
    </w:p>
    <w:p>
      <w:pPr>
        <w:spacing w:after="140"/>
        <w:jc w:val="both"/>
      </w:pPr>
      <w:r>
        <w:rPr>
          <w:rFonts w:ascii="Calibri" w:hAnsi="Calibri"/>
          <w:b w:val="0"/>
          <w:i w:val="0"/>
          <w:color w:val="1B2A32"/>
          <w:sz w:val="21"/>
        </w:rPr>
        <w:t>Ready-to-adapt clauses for commercial contracts and settlements. Drafting aids — tailor and have counsel settle before use. Bracketed items […] to be completed.</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1 — EQUATOR ARBITRATION CLAUSE (for contracts)</w:t>
            </w:r>
          </w:p>
          <w:p>
            <w:pPr>
              <w:jc w:val="both"/>
            </w:pPr>
            <w:r>
              <w:rPr>
                <w:rFonts w:ascii="Calibri" w:hAnsi="Calibri"/>
                <w:b w:val="0"/>
                <w:i w:val="0"/>
                <w:color w:val="1B2A32"/>
                <w:sz w:val="20"/>
              </w:rPr>
              <w:t>Any dispute arising out of or in connection with this contract, including its existence, validity or termination, shall be referred to and finally resolved by arbitration administered by Equator Resolution under the Equator Rules of Arbitration in force at the date of the notice of arbitration, which Rules are deemed incorporated. The seat of arbitration shall be [city], the language [English], and the tribunal shall consist of [a sole arbitrator / three arbitrators]. The governing law of the contract is [Indian law].</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2 — TIERED (MED-ARB) CLAUSE</w:t>
            </w:r>
          </w:p>
          <w:p>
            <w:pPr>
              <w:jc w:val="both"/>
            </w:pPr>
            <w:r>
              <w:rPr>
                <w:rFonts w:ascii="Calibri" w:hAnsi="Calibri"/>
                <w:b w:val="0"/>
                <w:i w:val="0"/>
                <w:color w:val="1B2A32"/>
                <w:sz w:val="20"/>
              </w:rPr>
              <w:t>The parties shall first attempt in good faith to resolve any dispute by negotiation between senior management within [15] days, then by mediation administered by Equator Resolution under its Mediation Rules within [30] days; any dispute not so resolved shall be finally resolved by arbitration under the Equator Rules of Arbitration (as in Clause 1).</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3 — EXPEDITED / EMERGENCY RELIEF</w:t>
            </w:r>
          </w:p>
          <w:p>
            <w:pPr>
              <w:jc w:val="both"/>
            </w:pPr>
            <w:r>
              <w:rPr>
                <w:rFonts w:ascii="Calibri" w:hAnsi="Calibri"/>
                <w:b w:val="0"/>
                <w:i w:val="0"/>
                <w:color w:val="1B2A32"/>
                <w:sz w:val="20"/>
              </w:rPr>
              <w:t>Where the amount in dispute does not exceed ₹[…], the Expedited Procedure of the Equator Rules shall apply. A party requiring urgent interim relief before the tribunal is constituted may apply for an emergency arbitrator under those Rules, without prejudice to any application under Section 9 of the Arbitration &amp; Conciliation Act, 1996.</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4 — MSME REFERENCE</w:t>
            </w:r>
          </w:p>
          <w:p>
            <w:pPr>
              <w:jc w:val="both"/>
            </w:pPr>
            <w:r>
              <w:rPr>
                <w:rFonts w:ascii="Calibri" w:hAnsi="Calibri"/>
                <w:b w:val="0"/>
                <w:i w:val="0"/>
                <w:color w:val="1B2A32"/>
                <w:sz w:val="20"/>
              </w:rPr>
              <w:t>Nothing in this contract limits a micro or small enterprise supplier's statutory right to refer a delayed-payment dispute to the Micro &amp; Small Enterprises Facilitation Council under Section 18 of the MSMED Act, 2006.</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5 — ESCROW OF AWARD / SETTLEMENT SUMS</w:t>
            </w:r>
          </w:p>
          <w:p>
            <w:pPr>
              <w:jc w:val="both"/>
            </w:pPr>
            <w:r>
              <w:rPr>
                <w:rFonts w:ascii="Calibri" w:hAnsi="Calibri"/>
                <w:b w:val="0"/>
                <w:i w:val="0"/>
                <w:color w:val="1B2A32"/>
                <w:sz w:val="20"/>
              </w:rPr>
              <w:t>Sums payable under any award or settlement shall be deposited into the Equator escrow account with […] Bank and released to the payee on [lapse of the Section 34 period without a stay / delivery / the agreed milestone], per the escrow instruction (Form F-C15).</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6 — CONFIDENTIALITY</w:t>
            </w:r>
          </w:p>
          <w:p>
            <w:pPr>
              <w:jc w:val="both"/>
            </w:pPr>
            <w:r>
              <w:rPr>
                <w:rFonts w:ascii="Calibri" w:hAnsi="Calibri"/>
                <w:b w:val="0"/>
                <w:i w:val="0"/>
                <w:color w:val="1B2A32"/>
                <w:sz w:val="20"/>
              </w:rPr>
              <w:t>The arbitration/mediation, all submissions, evidence and the award/settlement shall be kept confidential by the parties, the neutral and Equator, save as required for enforcement or by law.</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7 — CONSENT AWARD ON SETTLEMENT</w:t>
            </w:r>
          </w:p>
          <w:p>
            <w:pPr>
              <w:jc w:val="both"/>
            </w:pPr>
            <w:r>
              <w:rPr>
                <w:rFonts w:ascii="Calibri" w:hAnsi="Calibri"/>
                <w:b w:val="0"/>
                <w:i w:val="0"/>
                <w:color w:val="1B2A32"/>
                <w:sz w:val="20"/>
              </w:rPr>
              <w:t>If the parties settle during the arbitration, they may request the tribunal to record the settlement as an arbitral award on agreed terms under Section 30 of the Arbitration &amp; Conciliation Act, 1996.</w:t>
            </w:r>
          </w:p>
        </w:tc>
      </w:tr>
    </w:tbl>
    <w:p>
      <w:pPr>
        <w:spacing w:after="12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Templates, not advice. Seat, governing law, number of arbitrators, and arbitrability must be settled by counsel for the specific contract; a defective clause can derail enforcement.</w:t>
            </w:r>
          </w:p>
        </w:tc>
      </w:tr>
    </w:tbl>
    <w:p>
      <w:pPr>
        <w:spacing w:after="120"/>
      </w:pPr>
    </w:p>
    <w:p>
      <w:r>
        <w:br w:type="page"/>
      </w:r>
    </w:p>
    <w:p>
      <w:pPr>
        <w:spacing w:before="600" w:after="40"/>
      </w:pPr>
      <w:r>
        <w:rPr>
          <w:rFonts w:ascii="Calibri" w:hAnsi="Calibri"/>
          <w:b/>
          <w:i w:val="0"/>
          <w:color w:val="C6A15B"/>
          <w:sz w:val="26"/>
        </w:rPr>
        <w:t>PART H</w:t>
      </w:r>
    </w:p>
    <w:p>
      <w:pPr>
        <w:spacing w:after="200"/>
        <w:pBdr>
          <w:bottom w:val="single" w:sz="18" w:space="3" w:color="1E7A8C"/>
        </w:pBdr>
      </w:pPr>
      <w:r>
        <w:rPr>
          <w:rFonts w:ascii="Calibri" w:hAnsi="Calibri"/>
          <w:b/>
          <w:i w:val="0"/>
          <w:color w:val="123B4F"/>
          <w:sz w:val="46"/>
        </w:rPr>
        <w:t>The Forms (Full Text)</w:t>
      </w:r>
    </w:p>
    <w:p>
      <w:pPr>
        <w:spacing w:after="140"/>
        <w:jc w:val="both"/>
      </w:pPr>
      <w:r>
        <w:rPr>
          <w:rFonts w:ascii="Calibri" w:hAnsi="Calibri"/>
          <w:b w:val="0"/>
          <w:i w:val="0"/>
          <w:color w:val="1B2A32"/>
          <w:sz w:val="21"/>
        </w:rPr>
        <w:t>This Part reproduces every Equator commercial form in full (F-C01 to F-C20), ready to lift into the platform or use directly. The same set is delivered as individual documents in the archived Forms Pack folder. Fields shown blank are for completion by the party, neutral or case manager as indicated.</w:t>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Onboarding, KYB / KYC &amp; Data-Protection Consent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F-C01</w:t>
            </w:r>
          </w:p>
        </w:tc>
      </w:tr>
    </w:tbl>
    <w:p>
      <w:pPr>
        <w:spacing w:after="80"/>
      </w:pPr>
      <w:r>
        <w:rPr>
          <w:rFonts w:ascii="Calibri" w:hAnsi="Calibri"/>
          <w:b w:val="0"/>
          <w:i/>
          <w:color w:val="556168"/>
          <w:sz w:val="18"/>
        </w:rPr>
        <w:t>Create your account, verify your business, and record DPDP consent.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PARTY / BUSINESS DETAILS (KYB)</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name (entity / individual)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Type (Pvt Ltd / LLP / Partnership / Proprietor / Individual)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CIN / LLPIN / Registration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GSTIN / PAN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Registered / principal 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signatory &amp; designation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Authority (board resolution / PoA reference)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Contact person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Counsel / representative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60" w:type="dxa"/>
              <w:bottom w:w="60" w:type="dxa"/>
              <w:start w:w="120" w:type="dxa"/>
              <w:end w:w="120" w:type="dxa"/>
            </w:tcMar>
          </w:tcPr>
          <w:p>
            <w:pPr>
              <w:spacing w:after="0"/>
            </w:pPr>
            <w:r>
              <w:rPr>
                <w:rFonts w:ascii="Calibri" w:hAnsi="Calibri"/>
                <w:b w:val="0"/>
                <w:i/>
                <w:color w:val="1B2A32"/>
                <w:sz w:val="17"/>
              </w:rPr>
              <w:t>Specimen: Acme Components Pvt Ltd · CIN U12345MH2015PTC000000 · GSTIN 27ABCDE1234F1Z5 · signatory: Director, authorised by board resolution dated __.</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ROLE</w:t>
            </w:r>
          </w:p>
        </w:tc>
      </w:tr>
    </w:tbl>
    <w:p>
      <w:pPr>
        <w:spacing w:after="20"/>
      </w:pPr>
    </w:p>
    <w:p>
      <w:pPr>
        <w:spacing w:after="20"/>
      </w:pPr>
      <w:r>
        <w:rPr>
          <w:rFonts w:ascii="Calibri" w:hAnsi="Calibri"/>
          <w:b/>
          <w:i w:val="0"/>
          <w:color w:val="123B4F"/>
          <w:sz w:val="18"/>
        </w:rPr>
        <w:t>Role: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Claimant / Applicant</w:t>
            </w:r>
          </w:p>
        </w:tc>
        <w:tc>
          <w:tcPr>
            <w:tcW w:type="dxa" w:w="4752"/>
            <w:tcMar>
              <w:top w:w="16" w:type="dxa"/>
              <w:bottom w:w="16" w:type="dxa"/>
              <w:start w:w="30" w:type="dxa"/>
              <w:end w:w="70" w:type="dxa"/>
            </w:tcMar>
          </w:tcPr>
          <w:p>
            <w:pPr>
              <w:spacing w:after="0"/>
            </w:pPr>
            <w:r>
              <w:rPr>
                <w:rFonts w:ascii="Calibri" w:hAnsi="Calibri"/>
                <w:b w:val="0"/>
                <w:i w:val="0"/>
                <w:color w:val="1B2A32"/>
                <w:sz w:val="18"/>
              </w:rPr>
              <w:t>☐  Respondent</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DATA-PROTECTION NOTICE &amp; CONSENT (DPDP Act, 2023)</w:t>
            </w:r>
          </w:p>
        </w:tc>
      </w:tr>
    </w:tbl>
    <w:p>
      <w:pPr>
        <w:spacing w:after="20"/>
      </w:pPr>
    </w:p>
    <w:p>
      <w:pPr>
        <w:spacing w:after="80"/>
        <w:jc w:val="both"/>
      </w:pPr>
      <w:r>
        <w:rPr>
          <w:rFonts w:ascii="Calibri" w:hAnsi="Calibri"/>
          <w:b w:val="0"/>
          <w:i w:val="0"/>
          <w:color w:val="1B2A32"/>
          <w:sz w:val="19"/>
        </w:rPr>
        <w:t>Your data is processed only to administer the dispute (case management, appointment, hearings, escrow, enforcement) and for statutory compliance. Commercially sensitive data is kept confidential with need-to-know access.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give free, specific, informed and withdrawable consent to processing our data for these purposes.</w:t>
      </w:r>
    </w:p>
    <w:p>
      <w:pPr>
        <w:spacing w:after="40"/>
        <w:jc w:val="both"/>
      </w:pPr>
      <w:r>
        <w:rPr>
          <w:rFonts w:ascii="Calibri" w:hAnsi="Calibri"/>
          <w:b w:val="0"/>
          <w:i w:val="0"/>
          <w:color w:val="1B2A32"/>
          <w:sz w:val="18"/>
        </w:rPr>
        <w:t xml:space="preserve">☐  </w:t>
      </w:r>
      <w:r>
        <w:rPr>
          <w:rFonts w:ascii="Calibri" w:hAnsi="Calibri"/>
          <w:b w:val="0"/>
          <w:i w:val="0"/>
          <w:color w:val="1B2A32"/>
          <w:sz w:val="18"/>
        </w:rPr>
        <w:t>I am authorised to represent and bind the above entity.</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provided is true and correct.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Authorised signatory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Grievance / Data Officer: grievance@equatorresolution.com. Equator acts as a Data Fiduciary under the DPDP Act, 2023.</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Request for Arbitration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F-C02</w:t>
            </w:r>
          </w:p>
        </w:tc>
      </w:tr>
    </w:tbl>
    <w:p>
      <w:pPr>
        <w:spacing w:after="80"/>
      </w:pPr>
      <w:r>
        <w:rPr>
          <w:rFonts w:ascii="Calibri" w:hAnsi="Calibri"/>
          <w:b w:val="0"/>
          <w:i/>
          <w:color w:val="556168"/>
          <w:sz w:val="18"/>
        </w:rPr>
        <w:t>Commences an arbitration under an arbitration agreement (s.7). Filed by the Claimant.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 (Equator)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PARTIES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name (entity / individual)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Type (Pvt Ltd / LLP / Partnership / Proprietor / Individual)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CIN / LLPIN / Registration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GSTIN / PAN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Registered / principal 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signatory &amp; designation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Authority (board resolution / PoA reference)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Contact person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Counsel / representative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THE ARBITRATION AGREEMENT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Contract &amp;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Arbitration clause (number / text reference)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Seat &amp; venue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Governing law</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Language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Number of arbitrators (sole / three)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NATURE OF THE DISPUTE</w:t>
            </w:r>
          </w:p>
        </w:tc>
      </w:tr>
    </w:tbl>
    <w:p>
      <w:pPr>
        <w:spacing w:after="20"/>
      </w:pPr>
    </w:p>
    <w:p>
      <w:pPr>
        <w:spacing w:after="20"/>
      </w:pPr>
      <w:r>
        <w:rPr>
          <w:rFonts w:ascii="Calibri" w:hAnsi="Calibri"/>
          <w:b/>
          <w:i w:val="0"/>
          <w:color w:val="123B4F"/>
          <w:sz w:val="18"/>
        </w:rPr>
        <w:t>Dispute type(s):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Breach of contract / damages</w:t>
            </w:r>
          </w:p>
        </w:tc>
        <w:tc>
          <w:tcPr>
            <w:tcW w:type="dxa" w:w="4752"/>
            <w:tcMar>
              <w:top w:w="16" w:type="dxa"/>
              <w:bottom w:w="16" w:type="dxa"/>
              <w:start w:w="30" w:type="dxa"/>
              <w:end w:w="70" w:type="dxa"/>
            </w:tcMar>
          </w:tcPr>
          <w:p>
            <w:pPr>
              <w:spacing w:after="0"/>
            </w:pPr>
            <w:r>
              <w:rPr>
                <w:rFonts w:ascii="Calibri" w:hAnsi="Calibri"/>
                <w:b w:val="0"/>
                <w:i w:val="0"/>
                <w:color w:val="1B2A32"/>
                <w:sz w:val="18"/>
              </w:rPr>
              <w:t>☐  Payment &amp; recovery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Supply / vendor / procurement</w:t>
            </w:r>
          </w:p>
        </w:tc>
        <w:tc>
          <w:tcPr>
            <w:tcW w:type="dxa" w:w="4752"/>
            <w:tcMar>
              <w:top w:w="16" w:type="dxa"/>
              <w:bottom w:w="16" w:type="dxa"/>
              <w:start w:w="30" w:type="dxa"/>
              <w:end w:w="70" w:type="dxa"/>
            </w:tcMar>
          </w:tcPr>
          <w:p>
            <w:pPr>
              <w:spacing w:after="0"/>
            </w:pPr>
            <w:r>
              <w:rPr>
                <w:rFonts w:ascii="Calibri" w:hAnsi="Calibri"/>
                <w:b w:val="0"/>
                <w:i w:val="0"/>
                <w:color w:val="1B2A32"/>
                <w:sz w:val="18"/>
              </w:rPr>
              <w:t>☐  Distribution / franchise / agency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Shareholder / JV / partnership</w:t>
            </w:r>
          </w:p>
        </w:tc>
        <w:tc>
          <w:tcPr>
            <w:tcW w:type="dxa" w:w="4752"/>
            <w:tcMar>
              <w:top w:w="16" w:type="dxa"/>
              <w:bottom w:w="16" w:type="dxa"/>
              <w:start w:w="30" w:type="dxa"/>
              <w:end w:w="70" w:type="dxa"/>
            </w:tcMar>
          </w:tcPr>
          <w:p>
            <w:pPr>
              <w:spacing w:after="0"/>
            </w:pPr>
            <w:r>
              <w:rPr>
                <w:rFonts w:ascii="Calibri" w:hAnsi="Calibri"/>
                <w:b w:val="0"/>
                <w:i w:val="0"/>
                <w:color w:val="1B2A32"/>
                <w:sz w:val="18"/>
              </w:rPr>
              <w:t>☐  Construction &amp; infrastructure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Technology / IT / IP</w:t>
            </w:r>
          </w:p>
        </w:tc>
        <w:tc>
          <w:tcPr>
            <w:tcW w:type="dxa" w:w="4752"/>
            <w:tcMar>
              <w:top w:w="16" w:type="dxa"/>
              <w:bottom w:w="16" w:type="dxa"/>
              <w:start w:w="30" w:type="dxa"/>
              <w:end w:w="70" w:type="dxa"/>
            </w:tcMar>
          </w:tcPr>
          <w:p>
            <w:pPr>
              <w:spacing w:after="0"/>
            </w:pPr>
            <w:r>
              <w:rPr>
                <w:rFonts w:ascii="Calibri" w:hAnsi="Calibri"/>
                <w:b w:val="0"/>
                <w:i w:val="0"/>
                <w:color w:val="1B2A32"/>
                <w:sz w:val="18"/>
              </w:rPr>
              <w:t>☐  Real estate &amp; lease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Banking / finance / guarantee</w:t>
            </w:r>
          </w:p>
        </w:tc>
        <w:tc>
          <w:tcPr>
            <w:tcW w:type="dxa" w:w="4752"/>
            <w:tcMar>
              <w:top w:w="16" w:type="dxa"/>
              <w:bottom w:w="16" w:type="dxa"/>
              <w:start w:w="30" w:type="dxa"/>
              <w:end w:w="70" w:type="dxa"/>
            </w:tcMar>
          </w:tcPr>
          <w:p>
            <w:pPr>
              <w:spacing w:after="0"/>
            </w:pPr>
            <w:r>
              <w:rPr>
                <w:rFonts w:ascii="Calibri" w:hAnsi="Calibri"/>
                <w:b w:val="0"/>
                <w:i w:val="0"/>
                <w:color w:val="1B2A32"/>
                <w:sz w:val="18"/>
              </w:rPr>
              <w:t>☐  MSME delayed payment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Company oppression / mismanagement</w:t>
            </w:r>
          </w:p>
        </w:tc>
        <w:tc>
          <w:tcPr>
            <w:tcW w:type="dxa" w:w="4752"/>
            <w:tcMar>
              <w:top w:w="16" w:type="dxa"/>
              <w:bottom w:w="16" w:type="dxa"/>
              <w:start w:w="30" w:type="dxa"/>
              <w:end w:w="70" w:type="dxa"/>
            </w:tcMar>
          </w:tcPr>
          <w:p>
            <w:pPr>
              <w:spacing w:after="0"/>
            </w:pPr>
            <w:r>
              <w:rPr>
                <w:rFonts w:ascii="Calibri" w:hAnsi="Calibri"/>
                <w:b w:val="0"/>
                <w:i w:val="0"/>
                <w:color w:val="1B2A32"/>
                <w:sz w:val="18"/>
              </w:rPr>
              <w:t>☐  Cross-border / international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p>
      <w:pPr>
        <w:spacing w:after="20"/>
      </w:pPr>
      <w:r>
        <w:rPr>
          <w:rFonts w:ascii="Calibri" w:hAnsi="Calibri"/>
          <w:b/>
          <w:i w:val="0"/>
          <w:color w:val="123B4F"/>
          <w:sz w:val="18"/>
        </w:rPr>
        <w:t>Sector:</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Manufacturing</w:t>
            </w:r>
          </w:p>
        </w:tc>
        <w:tc>
          <w:tcPr>
            <w:tcW w:type="dxa" w:w="4752"/>
            <w:tcMar>
              <w:top w:w="16" w:type="dxa"/>
              <w:bottom w:w="16" w:type="dxa"/>
              <w:start w:w="30" w:type="dxa"/>
              <w:end w:w="70" w:type="dxa"/>
            </w:tcMar>
          </w:tcPr>
          <w:p>
            <w:pPr>
              <w:spacing w:after="0"/>
            </w:pPr>
            <w:r>
              <w:rPr>
                <w:rFonts w:ascii="Calibri" w:hAnsi="Calibri"/>
                <w:b w:val="0"/>
                <w:i w:val="0"/>
                <w:color w:val="1B2A32"/>
                <w:sz w:val="18"/>
              </w:rPr>
              <w:t>☐  IT / technology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Construction / infrastructure</w:t>
            </w:r>
          </w:p>
        </w:tc>
        <w:tc>
          <w:tcPr>
            <w:tcW w:type="dxa" w:w="4752"/>
            <w:tcMar>
              <w:top w:w="16" w:type="dxa"/>
              <w:bottom w:w="16" w:type="dxa"/>
              <w:start w:w="30" w:type="dxa"/>
              <w:end w:w="70" w:type="dxa"/>
            </w:tcMar>
          </w:tcPr>
          <w:p>
            <w:pPr>
              <w:spacing w:after="0"/>
            </w:pPr>
            <w:r>
              <w:rPr>
                <w:rFonts w:ascii="Calibri" w:hAnsi="Calibri"/>
                <w:b w:val="0"/>
                <w:i w:val="0"/>
                <w:color w:val="1B2A32"/>
                <w:sz w:val="18"/>
              </w:rPr>
              <w:t>☐  BFSI / finance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Real estate</w:t>
            </w:r>
          </w:p>
        </w:tc>
        <w:tc>
          <w:tcPr>
            <w:tcW w:type="dxa" w:w="4752"/>
            <w:tcMar>
              <w:top w:w="16" w:type="dxa"/>
              <w:bottom w:w="16" w:type="dxa"/>
              <w:start w:w="30" w:type="dxa"/>
              <w:end w:w="70" w:type="dxa"/>
            </w:tcMar>
          </w:tcPr>
          <w:p>
            <w:pPr>
              <w:spacing w:after="0"/>
            </w:pPr>
            <w:r>
              <w:rPr>
                <w:rFonts w:ascii="Calibri" w:hAnsi="Calibri"/>
                <w:b w:val="0"/>
                <w:i w:val="0"/>
                <w:color w:val="1B2A32"/>
                <w:sz w:val="18"/>
              </w:rPr>
              <w:t>☐  Pharma / healthcare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Retail / FMCG</w:t>
            </w:r>
          </w:p>
        </w:tc>
        <w:tc>
          <w:tcPr>
            <w:tcW w:type="dxa" w:w="4752"/>
            <w:tcMar>
              <w:top w:w="16" w:type="dxa"/>
              <w:bottom w:w="16" w:type="dxa"/>
              <w:start w:w="30" w:type="dxa"/>
              <w:end w:w="70" w:type="dxa"/>
            </w:tcMar>
          </w:tcPr>
          <w:p>
            <w:pPr>
              <w:spacing w:after="0"/>
            </w:pPr>
            <w:r>
              <w:rPr>
                <w:rFonts w:ascii="Calibri" w:hAnsi="Calibri"/>
                <w:b w:val="0"/>
                <w:i w:val="0"/>
                <w:color w:val="1B2A32"/>
                <w:sz w:val="18"/>
              </w:rPr>
              <w:t>☐  Energy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Logistics</w:t>
            </w:r>
          </w:p>
        </w:tc>
        <w:tc>
          <w:tcPr>
            <w:tcW w:type="dxa" w:w="4752"/>
            <w:tcMar>
              <w:top w:w="16" w:type="dxa"/>
              <w:bottom w:w="16" w:type="dxa"/>
              <w:start w:w="30" w:type="dxa"/>
              <w:end w:w="70" w:type="dxa"/>
            </w:tcMar>
          </w:tcPr>
          <w:p>
            <w:pPr>
              <w:spacing w:after="0"/>
            </w:pPr>
            <w:r>
              <w:rPr>
                <w:rFonts w:ascii="Calibri" w:hAnsi="Calibri"/>
                <w:b w:val="0"/>
                <w:i w:val="0"/>
                <w:color w:val="1B2A32"/>
                <w:sz w:val="18"/>
              </w:rPr>
              <w:t>☐  Professional services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Brief summary of the dispute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Brief statement of facts &amp; claims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RELIEF CLAIMED</w:t>
            </w:r>
          </w:p>
        </w:tc>
      </w:tr>
    </w:tbl>
    <w:p>
      <w:pPr>
        <w:spacing w:after="20"/>
      </w:pPr>
    </w:p>
    <w:p>
      <w:pPr>
        <w:spacing w:after="20"/>
      </w:pPr>
      <w:r>
        <w:rPr>
          <w:rFonts w:ascii="Calibri" w:hAnsi="Calibri"/>
          <w:b/>
          <w:i w:val="0"/>
          <w:color w:val="123B4F"/>
          <w:sz w:val="18"/>
        </w:rPr>
        <w:t>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Damages / compensation</w:t>
            </w:r>
          </w:p>
        </w:tc>
        <w:tc>
          <w:tcPr>
            <w:tcW w:type="dxa" w:w="4752"/>
            <w:tcMar>
              <w:top w:w="16" w:type="dxa"/>
              <w:bottom w:w="16" w:type="dxa"/>
              <w:start w:w="30" w:type="dxa"/>
              <w:end w:w="70" w:type="dxa"/>
            </w:tcMar>
          </w:tcPr>
          <w:p>
            <w:pPr>
              <w:spacing w:after="0"/>
            </w:pPr>
            <w:r>
              <w:rPr>
                <w:rFonts w:ascii="Calibri" w:hAnsi="Calibri"/>
                <w:b w:val="0"/>
                <w:i w:val="0"/>
                <w:color w:val="1B2A32"/>
                <w:sz w:val="18"/>
              </w:rPr>
              <w:t>☐  Debt / price recovery + interest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Specific performance</w:t>
            </w:r>
          </w:p>
        </w:tc>
        <w:tc>
          <w:tcPr>
            <w:tcW w:type="dxa" w:w="4752"/>
            <w:tcMar>
              <w:top w:w="16" w:type="dxa"/>
              <w:bottom w:w="16" w:type="dxa"/>
              <w:start w:w="30" w:type="dxa"/>
              <w:end w:w="70" w:type="dxa"/>
            </w:tcMar>
          </w:tcPr>
          <w:p>
            <w:pPr>
              <w:spacing w:after="0"/>
            </w:pPr>
            <w:r>
              <w:rPr>
                <w:rFonts w:ascii="Calibri" w:hAnsi="Calibri"/>
                <w:b w:val="0"/>
                <w:i w:val="0"/>
                <w:color w:val="1B2A32"/>
                <w:sz w:val="18"/>
              </w:rPr>
              <w:t>☐  Injunction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Declaration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Account / audit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Termination / restitution</w:t>
            </w:r>
          </w:p>
        </w:tc>
        <w:tc>
          <w:tcPr>
            <w:tcW w:type="dxa" w:w="4752"/>
            <w:tcMar>
              <w:top w:w="16" w:type="dxa"/>
              <w:bottom w:w="16" w:type="dxa"/>
              <w:start w:w="30" w:type="dxa"/>
              <w:end w:w="70" w:type="dxa"/>
            </w:tcMar>
          </w:tcPr>
          <w:p>
            <w:pPr>
              <w:spacing w:after="0"/>
            </w:pPr>
            <w:r>
              <w:rPr>
                <w:rFonts w:ascii="Calibri" w:hAnsi="Calibri"/>
                <w:b w:val="0"/>
                <w:i w:val="0"/>
                <w:color w:val="1B2A32"/>
                <w:sz w:val="18"/>
              </w:rPr>
              <w:t>☐  Return of goods / property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Costs</w:t>
            </w:r>
          </w:p>
        </w:tc>
        <w:tc>
          <w:tcPr>
            <w:tcW w:type="dxa" w:w="4752"/>
            <w:tcMar>
              <w:top w:w="16" w:type="dxa"/>
              <w:bottom w:w="16" w:type="dxa"/>
              <w:start w:w="30" w:type="dxa"/>
              <w:end w:w="70" w:type="dxa"/>
            </w:tcMar>
          </w:tcPr>
          <w:p>
            <w:pPr>
              <w:spacing w:after="0"/>
            </w:pPr>
            <w:r>
              <w:rPr>
                <w:rFonts w:ascii="Calibri" w:hAnsi="Calibri"/>
                <w:b w:val="0"/>
                <w:i w:val="0"/>
                <w:color w:val="1B2A32"/>
                <w:sz w:val="18"/>
              </w:rPr>
              <w:t>☐  Escrow-secured payment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NOMINATION</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Claimant's nominee arbitrator (if three-member)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Proposed sole arbitrator (if agreed)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invoke the arbitration agreement and request Equator to administer the arbitration under its Rules.</w:t>
      </w:r>
    </w:p>
    <w:p>
      <w:pPr>
        <w:spacing w:after="40"/>
        <w:jc w:val="both"/>
      </w:pPr>
      <w:r>
        <w:rPr>
          <w:rFonts w:ascii="Calibri" w:hAnsi="Calibri"/>
          <w:b w:val="0"/>
          <w:i w:val="0"/>
          <w:color w:val="1B2A32"/>
          <w:sz w:val="18"/>
        </w:rPr>
        <w:t xml:space="preserve">☐  </w:t>
      </w:r>
      <w:r>
        <w:rPr>
          <w:rFonts w:ascii="Calibri" w:hAnsi="Calibri"/>
          <w:b w:val="0"/>
          <w:i w:val="0"/>
          <w:color w:val="1B2A32"/>
          <w:sz w:val="18"/>
        </w:rPr>
        <w:t>We agree to pay the fees under the Equator schedule.</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is true to the best of our knowledge.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 / Counsel</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Response to Request for Arbitration (with Counterclaim)</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F-C03</w:t>
            </w:r>
          </w:p>
        </w:tc>
      </w:tr>
    </w:tbl>
    <w:p>
      <w:pPr>
        <w:spacing w:after="80"/>
      </w:pPr>
      <w:r>
        <w:rPr>
          <w:rFonts w:ascii="Calibri" w:hAnsi="Calibri"/>
          <w:b w:val="0"/>
          <w:i/>
          <w:color w:val="556168"/>
          <w:sz w:val="18"/>
        </w:rPr>
        <w:t>The Respondent's reply, including any jurisdictional objection and counterclaim (s.23).</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Responding to RFA dated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RESPONDENT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name (entity / individual)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Type (Pvt Ltd / LLP / Partnership / Proprietor / Individual)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CIN / LLPIN / Registration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GSTIN / PAN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Registered / principal 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signatory &amp; designation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Authority (board resolution / PoA reference)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Contact person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Counsel / representative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POSITION</w:t>
            </w:r>
          </w:p>
        </w:tc>
      </w:tr>
    </w:tbl>
    <w:p>
      <w:pPr>
        <w:spacing w:after="20"/>
      </w:pPr>
    </w:p>
    <w:p>
      <w:pPr>
        <w:spacing w:after="20"/>
      </w:pPr>
      <w:r>
        <w:rPr>
          <w:rFonts w:ascii="Calibri" w:hAnsi="Calibri"/>
          <w:b/>
          <w:i w:val="0"/>
          <w:color w:val="123B4F"/>
          <w:sz w:val="18"/>
        </w:rPr>
        <w:t>We: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Accept the arbitration and Equator's administration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Object to jurisdiction / arbitrability (state grounds below)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Accept, but dispute the claim</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Response to the claim / jurisdictional objection</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COUNTERCLAIM (if any)</w:t>
            </w:r>
          </w:p>
        </w:tc>
      </w:tr>
    </w:tbl>
    <w:p>
      <w:pPr>
        <w:spacing w:after="20"/>
      </w:pPr>
    </w:p>
    <w:p>
      <w:pPr>
        <w:spacing w:after="20"/>
      </w:pPr>
      <w:r>
        <w:rPr>
          <w:rFonts w:ascii="Calibri" w:hAnsi="Calibri"/>
          <w:b/>
          <w:i w:val="0"/>
          <w:color w:val="123B4F"/>
          <w:sz w:val="18"/>
        </w:rPr>
        <w:t>Counterclaim type(s):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Breach of contract / damages</w:t>
            </w:r>
          </w:p>
        </w:tc>
        <w:tc>
          <w:tcPr>
            <w:tcW w:type="dxa" w:w="4752"/>
            <w:tcMar>
              <w:top w:w="16" w:type="dxa"/>
              <w:bottom w:w="16" w:type="dxa"/>
              <w:start w:w="30" w:type="dxa"/>
              <w:end w:w="70" w:type="dxa"/>
            </w:tcMar>
          </w:tcPr>
          <w:p>
            <w:pPr>
              <w:spacing w:after="0"/>
            </w:pPr>
            <w:r>
              <w:rPr>
                <w:rFonts w:ascii="Calibri" w:hAnsi="Calibri"/>
                <w:b w:val="0"/>
                <w:i w:val="0"/>
                <w:color w:val="1B2A32"/>
                <w:sz w:val="18"/>
              </w:rPr>
              <w:t>☐  Payment &amp; recovery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Supply / vendor / procurement</w:t>
            </w:r>
          </w:p>
        </w:tc>
        <w:tc>
          <w:tcPr>
            <w:tcW w:type="dxa" w:w="4752"/>
            <w:tcMar>
              <w:top w:w="16" w:type="dxa"/>
              <w:bottom w:w="16" w:type="dxa"/>
              <w:start w:w="30" w:type="dxa"/>
              <w:end w:w="70" w:type="dxa"/>
            </w:tcMar>
          </w:tcPr>
          <w:p>
            <w:pPr>
              <w:spacing w:after="0"/>
            </w:pPr>
            <w:r>
              <w:rPr>
                <w:rFonts w:ascii="Calibri" w:hAnsi="Calibri"/>
                <w:b w:val="0"/>
                <w:i w:val="0"/>
                <w:color w:val="1B2A32"/>
                <w:sz w:val="18"/>
              </w:rPr>
              <w:t>☐  Distribution / franchise / agency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Shareholder / JV / partnership</w:t>
            </w:r>
          </w:p>
        </w:tc>
        <w:tc>
          <w:tcPr>
            <w:tcW w:type="dxa" w:w="4752"/>
            <w:tcMar>
              <w:top w:w="16" w:type="dxa"/>
              <w:bottom w:w="16" w:type="dxa"/>
              <w:start w:w="30" w:type="dxa"/>
              <w:end w:w="70" w:type="dxa"/>
            </w:tcMar>
          </w:tcPr>
          <w:p>
            <w:pPr>
              <w:spacing w:after="0"/>
            </w:pPr>
            <w:r>
              <w:rPr>
                <w:rFonts w:ascii="Calibri" w:hAnsi="Calibri"/>
                <w:b w:val="0"/>
                <w:i w:val="0"/>
                <w:color w:val="1B2A32"/>
                <w:sz w:val="18"/>
              </w:rPr>
              <w:t>☐  Construction &amp; infrastructure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Technology / IT / IP</w:t>
            </w:r>
          </w:p>
        </w:tc>
        <w:tc>
          <w:tcPr>
            <w:tcW w:type="dxa" w:w="4752"/>
            <w:tcMar>
              <w:top w:w="16" w:type="dxa"/>
              <w:bottom w:w="16" w:type="dxa"/>
              <w:start w:w="30" w:type="dxa"/>
              <w:end w:w="70" w:type="dxa"/>
            </w:tcMar>
          </w:tcPr>
          <w:p>
            <w:pPr>
              <w:spacing w:after="0"/>
            </w:pPr>
            <w:r>
              <w:rPr>
                <w:rFonts w:ascii="Calibri" w:hAnsi="Calibri"/>
                <w:b w:val="0"/>
                <w:i w:val="0"/>
                <w:color w:val="1B2A32"/>
                <w:sz w:val="18"/>
              </w:rPr>
              <w:t>☐  Real estate &amp; lease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Banking / finance / guarantee</w:t>
            </w:r>
          </w:p>
        </w:tc>
        <w:tc>
          <w:tcPr>
            <w:tcW w:type="dxa" w:w="4752"/>
            <w:tcMar>
              <w:top w:w="16" w:type="dxa"/>
              <w:bottom w:w="16" w:type="dxa"/>
              <w:start w:w="30" w:type="dxa"/>
              <w:end w:w="70" w:type="dxa"/>
            </w:tcMar>
          </w:tcPr>
          <w:p>
            <w:pPr>
              <w:spacing w:after="0"/>
            </w:pPr>
            <w:r>
              <w:rPr>
                <w:rFonts w:ascii="Calibri" w:hAnsi="Calibri"/>
                <w:b w:val="0"/>
                <w:i w:val="0"/>
                <w:color w:val="1B2A32"/>
                <w:sz w:val="18"/>
              </w:rPr>
              <w:t>☐  MSME delayed payment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Company oppression / mismanagement</w:t>
            </w:r>
          </w:p>
        </w:tc>
        <w:tc>
          <w:tcPr>
            <w:tcW w:type="dxa" w:w="4752"/>
            <w:tcMar>
              <w:top w:w="16" w:type="dxa"/>
              <w:bottom w:w="16" w:type="dxa"/>
              <w:start w:w="30" w:type="dxa"/>
              <w:end w:w="70" w:type="dxa"/>
            </w:tcMar>
          </w:tcPr>
          <w:p>
            <w:pPr>
              <w:spacing w:after="0"/>
            </w:pPr>
            <w:r>
              <w:rPr>
                <w:rFonts w:ascii="Calibri" w:hAnsi="Calibri"/>
                <w:b w:val="0"/>
                <w:i w:val="0"/>
                <w:color w:val="1B2A32"/>
                <w:sz w:val="18"/>
              </w:rPr>
              <w:t>☐  Cross-border / international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counterclaimed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Counterclaim — facts &amp; relief</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NOMINATION</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Respondent's nominee arbitrator (if three-member)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contents are true to the best of our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 / Counsel</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Request for Mediation / s.12A Pre-Institution Mediation Application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F-C04</w:t>
            </w:r>
          </w:p>
        </w:tc>
      </w:tr>
    </w:tbl>
    <w:p>
      <w:pPr>
        <w:spacing w:after="80"/>
      </w:pPr>
      <w:r>
        <w:rPr>
          <w:rFonts w:ascii="Calibri" w:hAnsi="Calibri"/>
          <w:b w:val="0"/>
          <w:i/>
          <w:color w:val="556168"/>
          <w:sz w:val="18"/>
        </w:rPr>
        <w:t>Commences commercial mediation — voluntary, or the mandatory pre-institution route (Commercial Courts Act, s.12A).</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PARTIES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name (entity / individual)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Type (Pvt Ltd / LLP / Partnership / Proprietor / Individual)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CIN / LLPIN / Registration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GSTIN / PAN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Registered / principal 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signatory &amp; designation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Authority (board resolution / PoA reference)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Contact person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Counsel / representative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THE DISPUTE</w:t>
            </w:r>
          </w:p>
        </w:tc>
      </w:tr>
    </w:tbl>
    <w:p>
      <w:pPr>
        <w:spacing w:after="20"/>
      </w:pPr>
    </w:p>
    <w:p>
      <w:pPr>
        <w:spacing w:after="20"/>
      </w:pPr>
      <w:r>
        <w:rPr>
          <w:rFonts w:ascii="Calibri" w:hAnsi="Calibri"/>
          <w:b/>
          <w:i w:val="0"/>
          <w:color w:val="123B4F"/>
          <w:sz w:val="18"/>
        </w:rPr>
        <w:t>Route: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Voluntary commercial mediation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Mandatory pre-institution mediation (s.12A) before a commercial suit</w:t>
            </w:r>
          </w:p>
        </w:tc>
      </w:tr>
    </w:tbl>
    <w:p>
      <w:pPr>
        <w:spacing w:after="40"/>
      </w:pPr>
    </w:p>
    <w:p>
      <w:pPr>
        <w:spacing w:after="20"/>
      </w:pPr>
      <w:r>
        <w:rPr>
          <w:rFonts w:ascii="Calibri" w:hAnsi="Calibri"/>
          <w:b/>
          <w:i w:val="0"/>
          <w:color w:val="123B4F"/>
          <w:sz w:val="18"/>
        </w:rPr>
        <w:t>Dispute type(s):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Breach of contract / damages</w:t>
            </w:r>
          </w:p>
        </w:tc>
        <w:tc>
          <w:tcPr>
            <w:tcW w:type="dxa" w:w="4752"/>
            <w:tcMar>
              <w:top w:w="16" w:type="dxa"/>
              <w:bottom w:w="16" w:type="dxa"/>
              <w:start w:w="30" w:type="dxa"/>
              <w:end w:w="70" w:type="dxa"/>
            </w:tcMar>
          </w:tcPr>
          <w:p>
            <w:pPr>
              <w:spacing w:after="0"/>
            </w:pPr>
            <w:r>
              <w:rPr>
                <w:rFonts w:ascii="Calibri" w:hAnsi="Calibri"/>
                <w:b w:val="0"/>
                <w:i w:val="0"/>
                <w:color w:val="1B2A32"/>
                <w:sz w:val="18"/>
              </w:rPr>
              <w:t>☐  Payment &amp; recovery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Supply / vendor / procurement</w:t>
            </w:r>
          </w:p>
        </w:tc>
        <w:tc>
          <w:tcPr>
            <w:tcW w:type="dxa" w:w="4752"/>
            <w:tcMar>
              <w:top w:w="16" w:type="dxa"/>
              <w:bottom w:w="16" w:type="dxa"/>
              <w:start w:w="30" w:type="dxa"/>
              <w:end w:w="70" w:type="dxa"/>
            </w:tcMar>
          </w:tcPr>
          <w:p>
            <w:pPr>
              <w:spacing w:after="0"/>
            </w:pPr>
            <w:r>
              <w:rPr>
                <w:rFonts w:ascii="Calibri" w:hAnsi="Calibri"/>
                <w:b w:val="0"/>
                <w:i w:val="0"/>
                <w:color w:val="1B2A32"/>
                <w:sz w:val="18"/>
              </w:rPr>
              <w:t>☐  Distribution / franchise / agency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Shareholder / JV / partnership</w:t>
            </w:r>
          </w:p>
        </w:tc>
        <w:tc>
          <w:tcPr>
            <w:tcW w:type="dxa" w:w="4752"/>
            <w:tcMar>
              <w:top w:w="16" w:type="dxa"/>
              <w:bottom w:w="16" w:type="dxa"/>
              <w:start w:w="30" w:type="dxa"/>
              <w:end w:w="70" w:type="dxa"/>
            </w:tcMar>
          </w:tcPr>
          <w:p>
            <w:pPr>
              <w:spacing w:after="0"/>
            </w:pPr>
            <w:r>
              <w:rPr>
                <w:rFonts w:ascii="Calibri" w:hAnsi="Calibri"/>
                <w:b w:val="0"/>
                <w:i w:val="0"/>
                <w:color w:val="1B2A32"/>
                <w:sz w:val="18"/>
              </w:rPr>
              <w:t>☐  Construction &amp; infrastructure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Technology / IT / IP</w:t>
            </w:r>
          </w:p>
        </w:tc>
        <w:tc>
          <w:tcPr>
            <w:tcW w:type="dxa" w:w="4752"/>
            <w:tcMar>
              <w:top w:w="16" w:type="dxa"/>
              <w:bottom w:w="16" w:type="dxa"/>
              <w:start w:w="30" w:type="dxa"/>
              <w:end w:w="70" w:type="dxa"/>
            </w:tcMar>
          </w:tcPr>
          <w:p>
            <w:pPr>
              <w:spacing w:after="0"/>
            </w:pPr>
            <w:r>
              <w:rPr>
                <w:rFonts w:ascii="Calibri" w:hAnsi="Calibri"/>
                <w:b w:val="0"/>
                <w:i w:val="0"/>
                <w:color w:val="1B2A32"/>
                <w:sz w:val="18"/>
              </w:rPr>
              <w:t>☐  Real estate &amp; lease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Banking / finance / guarantee</w:t>
            </w:r>
          </w:p>
        </w:tc>
        <w:tc>
          <w:tcPr>
            <w:tcW w:type="dxa" w:w="4752"/>
            <w:tcMar>
              <w:top w:w="16" w:type="dxa"/>
              <w:bottom w:w="16" w:type="dxa"/>
              <w:start w:w="30" w:type="dxa"/>
              <w:end w:w="70" w:type="dxa"/>
            </w:tcMar>
          </w:tcPr>
          <w:p>
            <w:pPr>
              <w:spacing w:after="0"/>
            </w:pPr>
            <w:r>
              <w:rPr>
                <w:rFonts w:ascii="Calibri" w:hAnsi="Calibri"/>
                <w:b w:val="0"/>
                <w:i w:val="0"/>
                <w:color w:val="1B2A32"/>
                <w:sz w:val="18"/>
              </w:rPr>
              <w:t>☐  MSME delayed payment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Company oppression / mismanagement</w:t>
            </w:r>
          </w:p>
        </w:tc>
        <w:tc>
          <w:tcPr>
            <w:tcW w:type="dxa" w:w="4752"/>
            <w:tcMar>
              <w:top w:w="16" w:type="dxa"/>
              <w:bottom w:w="16" w:type="dxa"/>
              <w:start w:w="30" w:type="dxa"/>
              <w:end w:w="70" w:type="dxa"/>
            </w:tcMar>
          </w:tcPr>
          <w:p>
            <w:pPr>
              <w:spacing w:after="0"/>
            </w:pPr>
            <w:r>
              <w:rPr>
                <w:rFonts w:ascii="Calibri" w:hAnsi="Calibri"/>
                <w:b w:val="0"/>
                <w:i w:val="0"/>
                <w:color w:val="1B2A32"/>
                <w:sz w:val="18"/>
              </w:rPr>
              <w:t>☐  Cross-border / international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Specified value / amount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Is urgent interim relief contemplated?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Brief summary of the dispute &amp; relief sought</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OTHER PARTY</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 &amp; contact of the opposite party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authorise Equator to administer the mediation and to notify the other party.</w:t>
      </w:r>
    </w:p>
    <w:p>
      <w:pPr>
        <w:spacing w:after="40"/>
        <w:jc w:val="both"/>
      </w:pPr>
      <w:r>
        <w:rPr>
          <w:rFonts w:ascii="Calibri" w:hAnsi="Calibri"/>
          <w:b w:val="0"/>
          <w:i w:val="0"/>
          <w:color w:val="1B2A32"/>
          <w:sz w:val="18"/>
        </w:rPr>
        <w:t xml:space="preserve">☐  </w:t>
      </w:r>
      <w:r>
        <w:rPr>
          <w:rFonts w:ascii="Calibri" w:hAnsi="Calibri"/>
          <w:b w:val="0"/>
          <w:i w:val="0"/>
          <w:color w:val="1B2A32"/>
          <w:sz w:val="18"/>
        </w:rPr>
        <w:t>We understand an MSA, once signed &amp; registered, is enforceable as a decree (s.27).</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 / Counsel</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For s.12A: a commercial suit of specified value not contemplating urgent interim relief must attempt this mediation before filing (Patil Automation).</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Nomination &amp; Appointment of Arbitrator</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F-C05</w:t>
            </w:r>
          </w:p>
        </w:tc>
      </w:tr>
    </w:tbl>
    <w:p>
      <w:pPr>
        <w:spacing w:after="80"/>
      </w:pPr>
      <w:r>
        <w:rPr>
          <w:rFonts w:ascii="Calibri" w:hAnsi="Calibri"/>
          <w:b w:val="0"/>
          <w:i/>
          <w:color w:val="556168"/>
          <w:sz w:val="18"/>
        </w:rPr>
        <w:t>Records the parties' nomination(s) and Equator's appointment / confirmation of the tribunal.</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Sole or three-member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Claimant's nominee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Respondent's nominee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Presiding / sole arbitrator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Method (party / institutional / s.11)</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Every appointee must file the Disclosure &amp; Statement of Independence (F-C06) and clear the Fifth &amp; Seventh Schedule checks before confirmation.</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Equator (appointing authority)</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Arbitrator's Disclosure &amp; Statement of Independence (s.12)</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F-C06</w:t>
            </w:r>
          </w:p>
        </w:tc>
      </w:tr>
    </w:tbl>
    <w:p>
      <w:pPr>
        <w:spacing w:after="80"/>
      </w:pPr>
      <w:r>
        <w:rPr>
          <w:rFonts w:ascii="Calibri" w:hAnsi="Calibri"/>
          <w:b w:val="0"/>
          <w:i/>
          <w:color w:val="556168"/>
          <w:sz w:val="18"/>
        </w:rPr>
        <w:t>Mandatory disclosure under Section 12 and the Fifth &amp; Seventh Schedules.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Arbitrator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Panel ID / grade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am independent and impartial and have no relationship with the parties, counsel or subject-matter that falls within the Seventh Schedule (ineligibility).</w:t>
      </w:r>
    </w:p>
    <w:p>
      <w:pPr>
        <w:spacing w:after="40"/>
        <w:jc w:val="both"/>
      </w:pPr>
      <w:r>
        <w:rPr>
          <w:rFonts w:ascii="Calibri" w:hAnsi="Calibri"/>
          <w:b w:val="0"/>
          <w:i w:val="0"/>
          <w:color w:val="1B2A32"/>
          <w:sz w:val="18"/>
        </w:rPr>
        <w:t xml:space="preserve">☐  </w:t>
      </w:r>
      <w:r>
        <w:rPr>
          <w:rFonts w:ascii="Calibri" w:hAnsi="Calibri"/>
          <w:b w:val="0"/>
          <w:i w:val="0"/>
          <w:color w:val="1B2A32"/>
          <w:sz w:val="18"/>
        </w:rPr>
        <w:t>I disclose below any circumstance under the Fifth Schedule that may give rise to justifiable doubts.</w:t>
      </w:r>
    </w:p>
    <w:p>
      <w:pPr>
        <w:spacing w:after="40"/>
        <w:jc w:val="both"/>
      </w:pPr>
      <w:r>
        <w:rPr>
          <w:rFonts w:ascii="Calibri" w:hAnsi="Calibri"/>
          <w:b w:val="0"/>
          <w:i w:val="0"/>
          <w:color w:val="1B2A32"/>
          <w:sz w:val="18"/>
        </w:rPr>
        <w:t xml:space="preserve">☐  </w:t>
      </w:r>
      <w:r>
        <w:rPr>
          <w:rFonts w:ascii="Calibri" w:hAnsi="Calibri"/>
          <w:b w:val="0"/>
          <w:i w:val="0"/>
          <w:color w:val="1B2A32"/>
          <w:sz w:val="18"/>
        </w:rPr>
        <w:t>I have sufficient time to complete the arbitration within the Section 29A timeline.</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disclose any such circumstance arising later, without delay.</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DISCLOSURES (if any)</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Circumstance disclosed</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Arbitrator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Terms of Reference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F-C07</w:t>
            </w:r>
          </w:p>
        </w:tc>
      </w:tr>
    </w:tbl>
    <w:p>
      <w:pPr>
        <w:spacing w:after="80"/>
      </w:pPr>
      <w:r>
        <w:rPr>
          <w:rFonts w:ascii="Calibri" w:hAnsi="Calibri"/>
          <w:b w:val="0"/>
          <w:i/>
          <w:color w:val="556168"/>
          <w:sz w:val="18"/>
        </w:rPr>
        <w:t>Defines the scope of the arbitration — parties, claims, issues, seat, law and procedure.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Tribunal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Seat / venue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Governing law</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Language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SUMMARY OF CLAIMS &amp; COUNTERCLAIMS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Party</w:t>
            </w:r>
          </w:p>
        </w:tc>
        <w:tc>
          <w:tcPr>
            <w:tcW w:type="dxa" w:w="5322"/>
            <w:shd w:val="clear" w:color="auto" w:fill="123B4F"/>
            <w:tcMar>
              <w:top w:w="60" w:type="dxa"/>
              <w:bottom w:w="60" w:type="dxa"/>
              <w:start w:w="110" w:type="dxa"/>
              <w:end w:w="110" w:type="dxa"/>
            </w:tcMar>
          </w:tcPr>
          <w:p>
            <w:pPr>
              <w:spacing w:after="0"/>
            </w:pPr>
            <w:r>
              <w:rPr>
                <w:rFonts w:ascii="Calibri" w:hAnsi="Calibri"/>
                <w:b/>
                <w:i w:val="0"/>
                <w:color w:val="FFFFFF"/>
                <w:sz w:val="17"/>
              </w:rPr>
              <w:t>Claim / counterclaim (summary)</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Amount (₹)</w:t>
            </w:r>
          </w:p>
        </w:tc>
      </w:tr>
      <w:tr>
        <w:tc>
          <w:tcPr>
            <w:tcW w:type="dxa" w:w="2281"/>
            <w:tcMar>
              <w:top w:w="60" w:type="dxa"/>
              <w:bottom w:w="60" w:type="dxa"/>
              <w:start w:w="110" w:type="dxa"/>
              <w:end w:w="110" w:type="dxa"/>
            </w:tcMar>
          </w:tcPr>
          <w:p>
            <w:r>
              <w:t xml:space="preserve"> </w:t>
            </w:r>
          </w:p>
        </w:tc>
        <w:tc>
          <w:tcPr>
            <w:tcW w:type="dxa" w:w="5322"/>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2281"/>
            <w:tcMar>
              <w:top w:w="60" w:type="dxa"/>
              <w:bottom w:w="60" w:type="dxa"/>
              <w:start w:w="110" w:type="dxa"/>
              <w:end w:w="110" w:type="dxa"/>
            </w:tcMar>
            <w:shd w:val="clear" w:color="auto" w:fill="F2F6F8"/>
          </w:tcPr>
          <w:p>
            <w:r>
              <w:t xml:space="preserve"> </w:t>
            </w:r>
          </w:p>
        </w:tc>
        <w:tc>
          <w:tcPr>
            <w:tcW w:type="dxa" w:w="5322"/>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2281"/>
            <w:tcMar>
              <w:top w:w="60" w:type="dxa"/>
              <w:bottom w:w="60" w:type="dxa"/>
              <w:start w:w="110" w:type="dxa"/>
              <w:end w:w="110" w:type="dxa"/>
            </w:tcMar>
          </w:tcPr>
          <w:p>
            <w:r>
              <w:t xml:space="preserve"> </w:t>
            </w:r>
          </w:p>
        </w:tc>
        <w:tc>
          <w:tcPr>
            <w:tcW w:type="dxa" w:w="5322"/>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ISSUES FOR DETERMINATION</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7"/>
              </w:rPr>
              <w:t>No.</w:t>
            </w:r>
          </w:p>
        </w:tc>
        <w:tc>
          <w:tcPr>
            <w:tcW w:type="dxa" w:w="8554"/>
            <w:shd w:val="clear" w:color="auto" w:fill="123B4F"/>
            <w:tcMar>
              <w:top w:w="60" w:type="dxa"/>
              <w:bottom w:w="60" w:type="dxa"/>
              <w:start w:w="110" w:type="dxa"/>
              <w:end w:w="110" w:type="dxa"/>
            </w:tcMar>
          </w:tcPr>
          <w:p>
            <w:pPr>
              <w:spacing w:after="0"/>
            </w:pPr>
            <w:r>
              <w:rPr>
                <w:rFonts w:ascii="Calibri" w:hAnsi="Calibri"/>
                <w:b/>
                <w:i w:val="0"/>
                <w:color w:val="FFFFFF"/>
                <w:sz w:val="17"/>
              </w:rPr>
              <w:t>Issue</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Tribunal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Procedural Order No. 1</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F-C08</w:t>
            </w:r>
          </w:p>
        </w:tc>
      </w:tr>
    </w:tbl>
    <w:p>
      <w:pPr>
        <w:spacing w:after="80"/>
      </w:pPr>
      <w:r>
        <w:rPr>
          <w:rFonts w:ascii="Calibri" w:hAnsi="Calibri"/>
          <w:b w:val="0"/>
          <w:i/>
          <w:color w:val="556168"/>
          <w:sz w:val="18"/>
        </w:rPr>
        <w:t>The procedural timetable and case-management directions.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first procedural hearing</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TIMETABLE &amp; DIRECTIONS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7"/>
              </w:rPr>
              <w:t>Step</w:t>
            </w:r>
          </w:p>
        </w:tc>
        <w:tc>
          <w:tcPr>
            <w:tcW w:type="dxa" w:w="5702"/>
            <w:shd w:val="clear" w:color="auto" w:fill="123B4F"/>
            <w:tcMar>
              <w:top w:w="60" w:type="dxa"/>
              <w:bottom w:w="60" w:type="dxa"/>
              <w:start w:w="110" w:type="dxa"/>
              <w:end w:w="110" w:type="dxa"/>
            </w:tcMar>
          </w:tcPr>
          <w:p>
            <w:pPr>
              <w:spacing w:after="0"/>
            </w:pPr>
            <w:r>
              <w:rPr>
                <w:rFonts w:ascii="Calibri" w:hAnsi="Calibri"/>
                <w:b/>
                <w:i w:val="0"/>
                <w:color w:val="FFFFFF"/>
                <w:sz w:val="17"/>
              </w:rPr>
              <w:t>Direction / date</w:t>
            </w:r>
          </w:p>
        </w:tc>
      </w:tr>
      <w:tr>
        <w:tc>
          <w:tcPr>
            <w:tcW w:type="dxa" w:w="3802"/>
            <w:tcMar>
              <w:top w:w="60" w:type="dxa"/>
              <w:bottom w:w="60" w:type="dxa"/>
              <w:start w:w="110" w:type="dxa"/>
              <w:end w:w="110" w:type="dxa"/>
            </w:tcMar>
          </w:tcPr>
          <w:p>
            <w:r>
              <w:t xml:space="preserve"> </w:t>
            </w:r>
          </w:p>
        </w:tc>
        <w:tc>
          <w:tcPr>
            <w:tcW w:type="dxa" w:w="5702"/>
            <w:tcMar>
              <w:top w:w="60" w:type="dxa"/>
              <w:bottom w:w="60" w:type="dxa"/>
              <w:start w:w="110" w:type="dxa"/>
              <w:end w:w="110" w:type="dxa"/>
            </w:tcMar>
          </w:tcPr>
          <w:p>
            <w:r>
              <w:t xml:space="preserve"> </w:t>
            </w:r>
          </w:p>
        </w:tc>
      </w:tr>
      <w:tr>
        <w:tc>
          <w:tcPr>
            <w:tcW w:type="dxa" w:w="3802"/>
            <w:tcMar>
              <w:top w:w="60" w:type="dxa"/>
              <w:bottom w:w="60" w:type="dxa"/>
              <w:start w:w="110" w:type="dxa"/>
              <w:end w:w="110" w:type="dxa"/>
            </w:tcMar>
            <w:shd w:val="clear" w:color="auto" w:fill="F2F6F8"/>
          </w:tcPr>
          <w:p>
            <w:r>
              <w:t xml:space="preserve"> </w:t>
            </w:r>
          </w:p>
        </w:tc>
        <w:tc>
          <w:tcPr>
            <w:tcW w:type="dxa" w:w="5702"/>
            <w:tcMar>
              <w:top w:w="60" w:type="dxa"/>
              <w:bottom w:w="60" w:type="dxa"/>
              <w:start w:w="110" w:type="dxa"/>
              <w:end w:w="110" w:type="dxa"/>
            </w:tcMar>
            <w:shd w:val="clear" w:color="auto" w:fill="F2F6F8"/>
          </w:tcPr>
          <w:p>
            <w:r>
              <w:t xml:space="preserve"> </w:t>
            </w:r>
          </w:p>
        </w:tc>
      </w:tr>
      <w:tr>
        <w:tc>
          <w:tcPr>
            <w:tcW w:type="dxa" w:w="3802"/>
            <w:tcMar>
              <w:top w:w="60" w:type="dxa"/>
              <w:bottom w:w="60" w:type="dxa"/>
              <w:start w:w="110" w:type="dxa"/>
              <w:end w:w="110" w:type="dxa"/>
            </w:tcMar>
          </w:tcPr>
          <w:p>
            <w:r>
              <w:t xml:space="preserve"> </w:t>
            </w:r>
          </w:p>
        </w:tc>
        <w:tc>
          <w:tcPr>
            <w:tcW w:type="dxa" w:w="5702"/>
            <w:tcMar>
              <w:top w:w="60" w:type="dxa"/>
              <w:bottom w:w="60" w:type="dxa"/>
              <w:start w:w="110" w:type="dxa"/>
              <w:end w:w="110" w:type="dxa"/>
            </w:tcMar>
          </w:tcPr>
          <w:p>
            <w:r>
              <w:t xml:space="preserve"> </w:t>
            </w:r>
          </w:p>
        </w:tc>
      </w:tr>
      <w:tr>
        <w:tc>
          <w:tcPr>
            <w:tcW w:type="dxa" w:w="3802"/>
            <w:tcMar>
              <w:top w:w="60" w:type="dxa"/>
              <w:bottom w:w="60" w:type="dxa"/>
              <w:start w:w="110" w:type="dxa"/>
              <w:end w:w="110" w:type="dxa"/>
            </w:tcMar>
            <w:shd w:val="clear" w:color="auto" w:fill="F2F6F8"/>
          </w:tcPr>
          <w:p>
            <w:r>
              <w:t xml:space="preserve"> </w:t>
            </w:r>
          </w:p>
        </w:tc>
        <w:tc>
          <w:tcPr>
            <w:tcW w:type="dxa" w:w="5702"/>
            <w:tcMar>
              <w:top w:w="60" w:type="dxa"/>
              <w:bottom w:w="60" w:type="dxa"/>
              <w:start w:w="110" w:type="dxa"/>
              <w:end w:w="110" w:type="dxa"/>
            </w:tcMar>
            <w:shd w:val="clear" w:color="auto" w:fill="F2F6F8"/>
          </w:tcPr>
          <w:p>
            <w:r>
              <w:t xml:space="preserve"> </w:t>
            </w:r>
          </w:p>
        </w:tc>
      </w:tr>
      <w:tr>
        <w:tc>
          <w:tcPr>
            <w:tcW w:type="dxa" w:w="3802"/>
            <w:tcMar>
              <w:top w:w="60" w:type="dxa"/>
              <w:bottom w:w="60" w:type="dxa"/>
              <w:start w:w="110" w:type="dxa"/>
              <w:end w:w="110" w:type="dxa"/>
            </w:tcMar>
          </w:tcPr>
          <w:p>
            <w:r>
              <w:t xml:space="preserve"> </w:t>
            </w:r>
          </w:p>
        </w:tc>
        <w:tc>
          <w:tcPr>
            <w:tcW w:type="dxa" w:w="5702"/>
            <w:tcMar>
              <w:top w:w="60" w:type="dxa"/>
              <w:bottom w:w="60" w:type="dxa"/>
              <w:start w:w="110" w:type="dxa"/>
              <w:end w:w="110" w:type="dxa"/>
            </w:tcMar>
          </w:tcPr>
          <w:p>
            <w:r>
              <w:t xml:space="preserve"> </w:t>
            </w:r>
          </w:p>
        </w:tc>
      </w:tr>
      <w:tr>
        <w:tc>
          <w:tcPr>
            <w:tcW w:type="dxa" w:w="3802"/>
            <w:tcMar>
              <w:top w:w="60" w:type="dxa"/>
              <w:bottom w:w="60" w:type="dxa"/>
              <w:start w:w="110" w:type="dxa"/>
              <w:end w:w="110" w:type="dxa"/>
            </w:tcMar>
            <w:shd w:val="clear" w:color="auto" w:fill="F2F6F8"/>
          </w:tcPr>
          <w:p>
            <w:r>
              <w:t xml:space="preserve"> </w:t>
            </w:r>
          </w:p>
        </w:tc>
        <w:tc>
          <w:tcPr>
            <w:tcW w:type="dxa" w:w="5702"/>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Mode of hearings (in-person / video / hybrid)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Document-production protocol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Section 29A clock — pleadings complete by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Confidentiality directions</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Tribunal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Statement of Claim</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F-C09</w:t>
            </w:r>
          </w:p>
        </w:tc>
      </w:tr>
    </w:tbl>
    <w:p>
      <w:pPr>
        <w:spacing w:after="80"/>
      </w:pPr>
      <w:r>
        <w:rPr>
          <w:rFonts w:ascii="Calibri" w:hAnsi="Calibri"/>
          <w:b w:val="0"/>
          <w:i/>
          <w:color w:val="556168"/>
          <w:sz w:val="18"/>
        </w:rPr>
        <w:t>The Claimant's full case (s.23). May be AI-assisted; review and have counsel settle.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FACTS (numbered, chronological)</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7"/>
              </w:rPr>
              <w:t>No.</w:t>
            </w:r>
          </w:p>
        </w:tc>
        <w:tc>
          <w:tcPr>
            <w:tcW w:type="dxa" w:w="8554"/>
            <w:shd w:val="clear" w:color="auto" w:fill="123B4F"/>
            <w:tcMar>
              <w:top w:w="60" w:type="dxa"/>
              <w:bottom w:w="60" w:type="dxa"/>
              <w:start w:w="110" w:type="dxa"/>
              <w:end w:w="110" w:type="dxa"/>
            </w:tcMar>
          </w:tcPr>
          <w:p>
            <w:pPr>
              <w:spacing w:after="0"/>
            </w:pPr>
            <w:r>
              <w:rPr>
                <w:rFonts w:ascii="Calibri" w:hAnsi="Calibri"/>
                <w:b/>
                <w:i w:val="0"/>
                <w:color w:val="FFFFFF"/>
                <w:sz w:val="17"/>
              </w:rPr>
              <w:t>Fact</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THE CONTRACT &amp; BREACH</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7"/>
              </w:rPr>
              <w:t>Term relied upon</w:t>
            </w:r>
          </w:p>
        </w:tc>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7"/>
              </w:rPr>
              <w:t>Breach alleged</w:t>
            </w:r>
          </w:p>
        </w:tc>
      </w:tr>
      <w:tr>
        <w:tc>
          <w:tcPr>
            <w:tcW w:type="dxa" w:w="4752"/>
            <w:tcMar>
              <w:top w:w="60" w:type="dxa"/>
              <w:bottom w:w="60" w:type="dxa"/>
              <w:start w:w="110" w:type="dxa"/>
              <w:end w:w="110" w:type="dxa"/>
            </w:tcMar>
          </w:tcPr>
          <w:p>
            <w:r>
              <w:t xml:space="preserve"> </w:t>
            </w:r>
          </w:p>
        </w:tc>
        <w:tc>
          <w:tcPr>
            <w:tcW w:type="dxa" w:w="4752"/>
            <w:tcMar>
              <w:top w:w="60" w:type="dxa"/>
              <w:bottom w:w="60" w:type="dxa"/>
              <w:start w:w="110" w:type="dxa"/>
              <w:end w:w="110" w:type="dxa"/>
            </w:tcMar>
          </w:tcPr>
          <w:p>
            <w:r>
              <w:t xml:space="preserve"> </w:t>
            </w:r>
          </w:p>
        </w:tc>
      </w:tr>
      <w:tr>
        <w:tc>
          <w:tcPr>
            <w:tcW w:type="dxa" w:w="4752"/>
            <w:tcMar>
              <w:top w:w="60" w:type="dxa"/>
              <w:bottom w:w="60" w:type="dxa"/>
              <w:start w:w="110" w:type="dxa"/>
              <w:end w:w="110" w:type="dxa"/>
            </w:tcMar>
            <w:shd w:val="clear" w:color="auto" w:fill="F2F6F8"/>
          </w:tcPr>
          <w:p>
            <w:r>
              <w:t xml:space="preserve"> </w:t>
            </w:r>
          </w:p>
        </w:tc>
        <w:tc>
          <w:tcPr>
            <w:tcW w:type="dxa" w:w="4752"/>
            <w:tcMar>
              <w:top w:w="60" w:type="dxa"/>
              <w:bottom w:w="60" w:type="dxa"/>
              <w:start w:w="110" w:type="dxa"/>
              <w:end w:w="110" w:type="dxa"/>
            </w:tcMar>
            <w:shd w:val="clear" w:color="auto" w:fill="F2F6F8"/>
          </w:tcPr>
          <w:p>
            <w:r>
              <w:t xml:space="preserve"> </w:t>
            </w:r>
          </w:p>
        </w:tc>
      </w:tr>
      <w:tr>
        <w:tc>
          <w:tcPr>
            <w:tcW w:type="dxa" w:w="4752"/>
            <w:tcMar>
              <w:top w:w="60" w:type="dxa"/>
              <w:bottom w:w="60" w:type="dxa"/>
              <w:start w:w="110" w:type="dxa"/>
              <w:end w:w="110" w:type="dxa"/>
            </w:tcMar>
          </w:tcPr>
          <w:p>
            <w:r>
              <w:t xml:space="preserve"> </w:t>
            </w:r>
          </w:p>
        </w:tc>
        <w:tc>
          <w:tcPr>
            <w:tcW w:type="dxa" w:w="4752"/>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ISSUES &amp; RELIEF</w:t>
            </w:r>
          </w:p>
        </w:tc>
      </w:tr>
    </w:tbl>
    <w:p>
      <w:pPr>
        <w:spacing w:after="20"/>
      </w:pPr>
    </w:p>
    <w:p>
      <w:pPr>
        <w:spacing w:after="20"/>
      </w:pPr>
      <w:r>
        <w:rPr>
          <w:rFonts w:ascii="Calibri" w:hAnsi="Calibri"/>
          <w:b/>
          <w:i w:val="0"/>
          <w:color w:val="123B4F"/>
          <w:sz w:val="18"/>
        </w:rPr>
        <w:t>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Damages / compensation</w:t>
            </w:r>
          </w:p>
        </w:tc>
        <w:tc>
          <w:tcPr>
            <w:tcW w:type="dxa" w:w="4752"/>
            <w:tcMar>
              <w:top w:w="16" w:type="dxa"/>
              <w:bottom w:w="16" w:type="dxa"/>
              <w:start w:w="30" w:type="dxa"/>
              <w:end w:w="70" w:type="dxa"/>
            </w:tcMar>
          </w:tcPr>
          <w:p>
            <w:pPr>
              <w:spacing w:after="0"/>
            </w:pPr>
            <w:r>
              <w:rPr>
                <w:rFonts w:ascii="Calibri" w:hAnsi="Calibri"/>
                <w:b w:val="0"/>
                <w:i w:val="0"/>
                <w:color w:val="1B2A32"/>
                <w:sz w:val="18"/>
              </w:rPr>
              <w:t>☐  Debt / price recovery + interest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Specific performance</w:t>
            </w:r>
          </w:p>
        </w:tc>
        <w:tc>
          <w:tcPr>
            <w:tcW w:type="dxa" w:w="4752"/>
            <w:tcMar>
              <w:top w:w="16" w:type="dxa"/>
              <w:bottom w:w="16" w:type="dxa"/>
              <w:start w:w="30" w:type="dxa"/>
              <w:end w:w="70" w:type="dxa"/>
            </w:tcMar>
          </w:tcPr>
          <w:p>
            <w:pPr>
              <w:spacing w:after="0"/>
            </w:pPr>
            <w:r>
              <w:rPr>
                <w:rFonts w:ascii="Calibri" w:hAnsi="Calibri"/>
                <w:b w:val="0"/>
                <w:i w:val="0"/>
                <w:color w:val="1B2A32"/>
                <w:sz w:val="18"/>
              </w:rPr>
              <w:t>☐  Injunction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Declaration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Account / audit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Termination / restitution</w:t>
            </w:r>
          </w:p>
        </w:tc>
        <w:tc>
          <w:tcPr>
            <w:tcW w:type="dxa" w:w="4752"/>
            <w:tcMar>
              <w:top w:w="16" w:type="dxa"/>
              <w:bottom w:w="16" w:type="dxa"/>
              <w:start w:w="30" w:type="dxa"/>
              <w:end w:w="70" w:type="dxa"/>
            </w:tcMar>
          </w:tcPr>
          <w:p>
            <w:pPr>
              <w:spacing w:after="0"/>
            </w:pPr>
            <w:r>
              <w:rPr>
                <w:rFonts w:ascii="Calibri" w:hAnsi="Calibri"/>
                <w:b w:val="0"/>
                <w:i w:val="0"/>
                <w:color w:val="1B2A32"/>
                <w:sz w:val="18"/>
              </w:rPr>
              <w:t>☐  Return of goods / property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Costs</w:t>
            </w:r>
          </w:p>
        </w:tc>
        <w:tc>
          <w:tcPr>
            <w:tcW w:type="dxa" w:w="4752"/>
            <w:tcMar>
              <w:top w:w="16" w:type="dxa"/>
              <w:bottom w:w="16" w:type="dxa"/>
              <w:start w:w="30" w:type="dxa"/>
              <w:end w:w="70" w:type="dxa"/>
            </w:tcMar>
          </w:tcPr>
          <w:p>
            <w:pPr>
              <w:spacing w:after="0"/>
            </w:pPr>
            <w:r>
              <w:rPr>
                <w:rFonts w:ascii="Calibri" w:hAnsi="Calibri"/>
                <w:b w:val="0"/>
                <w:i w:val="0"/>
                <w:color w:val="1B2A32"/>
                <w:sz w:val="18"/>
              </w:rPr>
              <w:t>☐  Escrow-secured payment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Interest claimed (rate / basis)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Prayer</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EVIDENCE / DOCUMENTS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6653"/>
            <w:shd w:val="clear" w:color="auto" w:fill="123B4F"/>
            <w:tcMar>
              <w:top w:w="60" w:type="dxa"/>
              <w:bottom w:w="60" w:type="dxa"/>
              <w:start w:w="110" w:type="dxa"/>
              <w:end w:w="110" w:type="dxa"/>
            </w:tcMar>
          </w:tcPr>
          <w:p>
            <w:pPr>
              <w:spacing w:after="0"/>
            </w:pPr>
            <w:r>
              <w:rPr>
                <w:rFonts w:ascii="Calibri" w:hAnsi="Calibri"/>
                <w:b/>
                <w:i w:val="0"/>
                <w:color w:val="FFFFFF"/>
                <w:sz w:val="17"/>
              </w:rPr>
              <w:t>Document</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Exhibit no.</w:t>
            </w:r>
          </w:p>
        </w:tc>
      </w:tr>
      <w:tr>
        <w:tc>
          <w:tcPr>
            <w:tcW w:type="dxa" w:w="6653"/>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r>
      <w:tr>
        <w:tc>
          <w:tcPr>
            <w:tcW w:type="dxa" w:w="6653"/>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r>
      <w:tr>
        <w:tc>
          <w:tcPr>
            <w:tcW w:type="dxa" w:w="6653"/>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May be prepared with AI assistance from your account &amp; contract — a draft for your review, not legal advice.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facts are true to the best of our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 / Counsel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Statement of Defence &amp; Counterclaim</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F-C10</w:t>
            </w:r>
          </w:p>
        </w:tc>
      </w:tr>
    </w:tbl>
    <w:p>
      <w:pPr>
        <w:spacing w:after="80"/>
      </w:pPr>
      <w:r>
        <w:rPr>
          <w:rFonts w:ascii="Calibri" w:hAnsi="Calibri"/>
          <w:b w:val="0"/>
          <w:i/>
          <w:color w:val="556168"/>
          <w:sz w:val="18"/>
        </w:rPr>
        <w:t>The Respondent's full reply and any counterclaim (s.23).</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RESPONSE TO THE CLAIM (para-by-para)</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Claim para</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Admit / Deny</w:t>
            </w:r>
          </w:p>
        </w:tc>
        <w:tc>
          <w:tcPr>
            <w:tcW w:type="dxa" w:w="6083"/>
            <w:shd w:val="clear" w:color="auto" w:fill="123B4F"/>
            <w:tcMar>
              <w:top w:w="60" w:type="dxa"/>
              <w:bottom w:w="60" w:type="dxa"/>
              <w:start w:w="110" w:type="dxa"/>
              <w:end w:w="110" w:type="dxa"/>
            </w:tcMar>
          </w:tcPr>
          <w:p>
            <w:pPr>
              <w:spacing w:after="0"/>
            </w:pPr>
            <w:r>
              <w:rPr>
                <w:rFonts w:ascii="Calibri" w:hAnsi="Calibri"/>
                <w:b/>
                <w:i w:val="0"/>
                <w:color w:val="FFFFFF"/>
                <w:sz w:val="17"/>
              </w:rPr>
              <w:t>Response</w:t>
            </w:r>
          </w:p>
        </w:tc>
      </w:tr>
      <w:tr>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r>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r>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RESPONDENT'S CASE / ADDITIONAL FACTS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7"/>
              </w:rPr>
              <w:t>No.</w:t>
            </w:r>
          </w:p>
        </w:tc>
        <w:tc>
          <w:tcPr>
            <w:tcW w:type="dxa" w:w="8554"/>
            <w:shd w:val="clear" w:color="auto" w:fill="123B4F"/>
            <w:tcMar>
              <w:top w:w="60" w:type="dxa"/>
              <w:bottom w:w="60" w:type="dxa"/>
              <w:start w:w="110" w:type="dxa"/>
              <w:end w:w="110" w:type="dxa"/>
            </w:tcMar>
          </w:tcPr>
          <w:p>
            <w:pPr>
              <w:spacing w:after="0"/>
            </w:pPr>
            <w:r>
              <w:rPr>
                <w:rFonts w:ascii="Calibri" w:hAnsi="Calibri"/>
                <w:b/>
                <w:i w:val="0"/>
                <w:color w:val="FFFFFF"/>
                <w:sz w:val="17"/>
              </w:rPr>
              <w:t>Fact</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COUNTERCLAIM &amp; RELIEF</w:t>
            </w:r>
          </w:p>
        </w:tc>
      </w:tr>
    </w:tbl>
    <w:p>
      <w:pPr>
        <w:spacing w:after="20"/>
      </w:pPr>
    </w:p>
    <w:p>
      <w:pPr>
        <w:spacing w:after="20"/>
      </w:pPr>
      <w:r>
        <w:rPr>
          <w:rFonts w:ascii="Calibri" w:hAnsi="Calibri"/>
          <w:b/>
          <w:i w:val="0"/>
          <w:color w:val="123B4F"/>
          <w:sz w:val="18"/>
        </w:rPr>
        <w:t>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Damages / compensation</w:t>
            </w:r>
          </w:p>
        </w:tc>
        <w:tc>
          <w:tcPr>
            <w:tcW w:type="dxa" w:w="4752"/>
            <w:tcMar>
              <w:top w:w="16" w:type="dxa"/>
              <w:bottom w:w="16" w:type="dxa"/>
              <w:start w:w="30" w:type="dxa"/>
              <w:end w:w="70" w:type="dxa"/>
            </w:tcMar>
          </w:tcPr>
          <w:p>
            <w:pPr>
              <w:spacing w:after="0"/>
            </w:pPr>
            <w:r>
              <w:rPr>
                <w:rFonts w:ascii="Calibri" w:hAnsi="Calibri"/>
                <w:b w:val="0"/>
                <w:i w:val="0"/>
                <w:color w:val="1B2A32"/>
                <w:sz w:val="18"/>
              </w:rPr>
              <w:t>☐  Debt / price recovery + interest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Specific performance</w:t>
            </w:r>
          </w:p>
        </w:tc>
        <w:tc>
          <w:tcPr>
            <w:tcW w:type="dxa" w:w="4752"/>
            <w:tcMar>
              <w:top w:w="16" w:type="dxa"/>
              <w:bottom w:w="16" w:type="dxa"/>
              <w:start w:w="30" w:type="dxa"/>
              <w:end w:w="70" w:type="dxa"/>
            </w:tcMar>
          </w:tcPr>
          <w:p>
            <w:pPr>
              <w:spacing w:after="0"/>
            </w:pPr>
            <w:r>
              <w:rPr>
                <w:rFonts w:ascii="Calibri" w:hAnsi="Calibri"/>
                <w:b w:val="0"/>
                <w:i w:val="0"/>
                <w:color w:val="1B2A32"/>
                <w:sz w:val="18"/>
              </w:rPr>
              <w:t>☐  Injunction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Declaration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Account / audit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Termination / restitution</w:t>
            </w:r>
          </w:p>
        </w:tc>
        <w:tc>
          <w:tcPr>
            <w:tcW w:type="dxa" w:w="4752"/>
            <w:tcMar>
              <w:top w:w="16" w:type="dxa"/>
              <w:bottom w:w="16" w:type="dxa"/>
              <w:start w:w="30" w:type="dxa"/>
              <w:end w:w="70" w:type="dxa"/>
            </w:tcMar>
          </w:tcPr>
          <w:p>
            <w:pPr>
              <w:spacing w:after="0"/>
            </w:pPr>
            <w:r>
              <w:rPr>
                <w:rFonts w:ascii="Calibri" w:hAnsi="Calibri"/>
                <w:b w:val="0"/>
                <w:i w:val="0"/>
                <w:color w:val="1B2A32"/>
                <w:sz w:val="18"/>
              </w:rPr>
              <w:t>☐  Return of goods / property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Costs</w:t>
            </w:r>
          </w:p>
        </w:tc>
        <w:tc>
          <w:tcPr>
            <w:tcW w:type="dxa" w:w="4752"/>
            <w:tcMar>
              <w:top w:w="16" w:type="dxa"/>
              <w:bottom w:w="16" w:type="dxa"/>
              <w:start w:w="30" w:type="dxa"/>
              <w:end w:w="70" w:type="dxa"/>
            </w:tcMar>
          </w:tcPr>
          <w:p>
            <w:pPr>
              <w:spacing w:after="0"/>
            </w:pPr>
            <w:r>
              <w:rPr>
                <w:rFonts w:ascii="Calibri" w:hAnsi="Calibri"/>
                <w:b w:val="0"/>
                <w:i w:val="0"/>
                <w:color w:val="1B2A32"/>
                <w:sz w:val="18"/>
              </w:rPr>
              <w:t>☐  Escrow-secured payment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Counterclaim — facts &amp; prayer</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contents are true to the best of our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 / Counsel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Application for Interim Measures</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F-C11</w:t>
            </w:r>
          </w:p>
        </w:tc>
      </w:tr>
    </w:tbl>
    <w:p>
      <w:pPr>
        <w:spacing w:after="80"/>
      </w:pPr>
      <w:r>
        <w:rPr>
          <w:rFonts w:ascii="Calibri" w:hAnsi="Calibri"/>
          <w:b w:val="0"/>
          <w:i/>
          <w:color w:val="556168"/>
          <w:sz w:val="18"/>
        </w:rPr>
        <w:t>For urgent relief — from the tribunal (s.17), the court (s.9), or an emergency arbitrator.</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Forum (Tribunal s.17 / Court s.9 / Emergency arbitrator)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RELIEF SOUGHT</w:t>
            </w:r>
          </w:p>
        </w:tc>
      </w:tr>
    </w:tbl>
    <w:p>
      <w:pPr>
        <w:spacing w:after="20"/>
      </w:pPr>
    </w:p>
    <w:p>
      <w:pPr>
        <w:spacing w:after="20"/>
      </w:pPr>
      <w:r>
        <w:rPr>
          <w:rFonts w:ascii="Calibri" w:hAnsi="Calibri"/>
          <w:b/>
          <w:i w:val="0"/>
          <w:color w:val="123B4F"/>
          <w:sz w:val="18"/>
        </w:rPr>
        <w:t>Interim 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Preserve / secure the amount in dispute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Injunction (restrain / mandatory)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Preserve or detain property / goods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Restrain a call on a guarantee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Appointment of receiver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Other</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Grounds — urgency, prima facie case, balance of convenience, irreparable harm</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undertake as to damages and to comply with any conditions imposed.</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 / Counsel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Consent Award / Mediated Settlement Agreement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F-C12</w:t>
            </w:r>
          </w:p>
        </w:tc>
      </w:tr>
    </w:tbl>
    <w:p>
      <w:pPr>
        <w:spacing w:after="80"/>
      </w:pPr>
      <w:r>
        <w:rPr>
          <w:rFonts w:ascii="Calibri" w:hAnsi="Calibri"/>
          <w:b w:val="0"/>
          <w:i/>
          <w:color w:val="556168"/>
          <w:sz w:val="18"/>
        </w:rPr>
        <w:t>Records a settlement — as a consent award (s.30) in arbitration, or an MSA (Mediation Act) in mediation.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&amp; place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2</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RECITALS</w:t>
            </w:r>
          </w:p>
        </w:tc>
      </w:tr>
    </w:tbl>
    <w:p>
      <w:pPr>
        <w:spacing w:after="20"/>
      </w:pPr>
    </w:p>
    <w:p>
      <w:pPr>
        <w:spacing w:after="80"/>
        <w:jc w:val="both"/>
      </w:pPr>
      <w:r>
        <w:rPr>
          <w:rFonts w:ascii="Calibri" w:hAnsi="Calibri"/>
          <w:b w:val="0"/>
          <w:i w:val="0"/>
          <w:color w:val="1B2A32"/>
          <w:sz w:val="19"/>
        </w:rPr>
        <w:t>The parties have, of their own free will, settled the dispute described in the case file on the terms below.</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AGREED TERMS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1. Amount payable &amp; schedule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2. Interest / costs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3. Performance obligations &amp; timelines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4. Return of goods / property / documents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5. Confidentiality &amp; non-disparagement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6. Escrow (see F-C15)</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7. Full &amp; final settlement of</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EXECUTION &amp; ENFORCEABILITY</w:t>
            </w:r>
          </w:p>
        </w:tc>
      </w:tr>
    </w:tbl>
    <w:p>
      <w:pPr>
        <w:spacing w:after="20"/>
      </w:pPr>
    </w:p>
    <w:p>
      <w:pPr>
        <w:spacing w:after="80"/>
        <w:jc w:val="both"/>
      </w:pPr>
      <w:r>
        <w:rPr>
          <w:rFonts w:ascii="Calibri" w:hAnsi="Calibri"/>
          <w:b w:val="0"/>
          <w:i w:val="0"/>
          <w:color w:val="1B2A32"/>
          <w:sz w:val="19"/>
        </w:rPr>
        <w:t>In arbitration, the tribunal records this as an arbitral award on agreed terms (s.30), enforceable as a decree (s.36). In mediation, this MSA is registered (s.20) and enforceable as a decree (s.27).</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Stamp duty / e-stamp certificate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Registration / authority &amp; date</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 (authenticating)</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Application for Time Extension (s.29A)</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F-C13</w:t>
            </w:r>
          </w:p>
        </w:tc>
      </w:tr>
    </w:tbl>
    <w:p>
      <w:pPr>
        <w:spacing w:after="80"/>
      </w:pPr>
      <w:r>
        <w:rPr>
          <w:rFonts w:ascii="Calibri" w:hAnsi="Calibri"/>
          <w:b w:val="0"/>
          <w:i/>
          <w:color w:val="556168"/>
          <w:sz w:val="18"/>
        </w:rPr>
        <w:t>To extend the mandate/timeline for the award by consent.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Pleadings completed 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Current s.29A expiry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Extension sought (months, max 6)</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New target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REASON</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Reason</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parties consent to extend the tribunal's mandate under s.29A by the period stated (max 6 months).</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Tribunal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MSME Samadhaan Reference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F-C14</w:t>
            </w:r>
          </w:p>
        </w:tc>
      </w:tr>
    </w:tbl>
    <w:p>
      <w:pPr>
        <w:spacing w:after="80"/>
      </w:pPr>
      <w:r>
        <w:rPr>
          <w:rFonts w:ascii="Calibri" w:hAnsi="Calibri"/>
          <w:b w:val="0"/>
          <w:i/>
          <w:color w:val="556168"/>
          <w:sz w:val="18"/>
        </w:rPr>
        <w:t>For a micro/small supplier to refer a delayed-payment dispute to the MSE Facilitation Council (s.18).</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Supplier (MSE) name &amp; Udyam Registration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Buyer name &amp; details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Invoice no(s). &amp; date(s)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due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acceptance / deemed acceptance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Due date (within 45 days, s.15)</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Days overdue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Interest claimed (3x bank rate, compounded — s.16)</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PARTICULARS OF THE CLAIM</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Description of goods/services supplied &amp; the default</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refer this delayed-payment dispute to the MSE Facilitation Council for conciliation and, failing settlement, arbitration under s.18 of the MSMED Act, 2006.</w:t>
      </w:r>
    </w:p>
    <w:p>
      <w:pPr>
        <w:spacing w:after="40"/>
        <w:jc w:val="both"/>
      </w:pPr>
      <w:r>
        <w:rPr>
          <w:rFonts w:ascii="Calibri" w:hAnsi="Calibri"/>
          <w:b w:val="0"/>
          <w:i w:val="0"/>
          <w:color w:val="1B2A32"/>
          <w:sz w:val="18"/>
        </w:rPr>
        <w:t xml:space="preserve">☐  </w:t>
      </w:r>
      <w:r>
        <w:rPr>
          <w:rFonts w:ascii="Calibri" w:hAnsi="Calibri"/>
          <w:b w:val="0"/>
          <w:i w:val="0"/>
          <w:color w:val="1B2A32"/>
          <w:sz w:val="18"/>
        </w:rPr>
        <w:t>The particulars are true and correct.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Supplier (authorised signatory)</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Use the MSME interest calculator (companion tool) to compute interest at three times the RBI bank rate, compounded monthly.</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Escrow Instruction &amp; Release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F-C15</w:t>
            </w:r>
          </w:p>
        </w:tc>
      </w:tr>
    </w:tbl>
    <w:p>
      <w:pPr>
        <w:spacing w:after="80"/>
      </w:pPr>
      <w:r>
        <w:rPr>
          <w:rFonts w:ascii="Calibri" w:hAnsi="Calibri"/>
          <w:b w:val="0"/>
          <w:i/>
          <w:color w:val="556168"/>
          <w:sz w:val="18"/>
        </w:rPr>
        <w:t>Secures award/settlement money with a regulated escrow agent, released against conditions.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Payee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agent / bank</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amount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Source of funds (KYC/PMLA verified)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RELEASE SCHEDULE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Tranche</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Amount (₹)</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7"/>
              </w:rPr>
              <w:t>Release trigger / milestone</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Evidence required</w:t>
            </w:r>
          </w:p>
        </w:tc>
      </w:tr>
      <w:tr>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r>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bl>
    <w:p>
      <w:pPr>
        <w:spacing w:after="40"/>
      </w:pPr>
    </w:p>
    <w:p>
      <w:pPr>
        <w:spacing w:after="80"/>
        <w:jc w:val="both"/>
      </w:pPr>
      <w:r>
        <w:rPr>
          <w:rFonts w:ascii="Calibri" w:hAnsi="Calibri"/>
          <w:b w:val="0"/>
          <w:i w:val="0"/>
          <w:color w:val="1B2A32"/>
          <w:sz w:val="19"/>
        </w:rPr>
        <w:t>Typical triggers: lapse of the s.34 window without a stay; delivery / handover; completion of a performance step.</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Fallback if milestone not met by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fees &amp; bearer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payer irrevocably deposits the sum to be released only on the stated conditions.</w:t>
      </w:r>
    </w:p>
    <w:p>
      <w:pPr>
        <w:spacing w:after="40"/>
        <w:jc w:val="both"/>
      </w:pPr>
      <w:r>
        <w:rPr>
          <w:rFonts w:ascii="Calibri" w:hAnsi="Calibri"/>
          <w:b w:val="0"/>
          <w:i w:val="0"/>
          <w:color w:val="1B2A32"/>
          <w:sz w:val="18"/>
        </w:rPr>
        <w:t xml:space="preserve">☐  </w:t>
      </w:r>
      <w:r>
        <w:rPr>
          <w:rFonts w:ascii="Calibri" w:hAnsi="Calibri"/>
          <w:b w:val="0"/>
          <w:i w:val="0"/>
          <w:color w:val="1B2A32"/>
          <w:sz w:val="18"/>
        </w:rPr>
        <w:t>Both parties consent to the escrow agent acting on these instructions, and to KYC/PMLA compliance.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Payer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Payee</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Escrow Officer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Enforcement Checklist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F-C16</w:t>
            </w:r>
          </w:p>
        </w:tc>
      </w:tr>
    </w:tbl>
    <w:p>
      <w:pPr>
        <w:spacing w:after="80"/>
      </w:pPr>
      <w:r>
        <w:rPr>
          <w:rFonts w:ascii="Calibri" w:hAnsi="Calibri"/>
          <w:b w:val="0"/>
          <w:i/>
          <w:color w:val="556168"/>
          <w:sz w:val="18"/>
        </w:rPr>
        <w:t>Steps to enforce an award or settlement.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Outcome (award / consent award / MSA)</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CHECKLIST</w:t>
            </w:r>
          </w:p>
        </w:tc>
      </w:tr>
    </w:tbl>
    <w:p>
      <w:pPr>
        <w:spacing w:after="20"/>
      </w:pPr>
    </w:p>
    <w:p>
      <w:pPr>
        <w:spacing w:after="20"/>
      </w:pPr>
      <w:r>
        <w:rPr>
          <w:rFonts w:ascii="Calibri" w:hAnsi="Calibri"/>
          <w:b/>
          <w:i w:val="0"/>
          <w:color w:val="123B4F"/>
          <w:sz w:val="18"/>
        </w:rPr>
        <w:t>Confirm:</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s.34 challenge window elapsed / challenge failed (domestic award)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Award signed, stamped &amp; delivered to parties (s.31)</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For foreign award: New York Convention documents (s.47) ready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For MSA: registered (s.20)</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Stamp duty paid / e-stamped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Certified copy obtained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Enforcement petition prepared (s.36 / Part II)</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Escrow release conditions verified</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Case Closure / Award Transmittal</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F-C17</w:t>
            </w:r>
          </w:p>
        </w:tc>
      </w:tr>
    </w:tbl>
    <w:p>
      <w:pPr>
        <w:spacing w:after="80"/>
      </w:pPr>
      <w:r>
        <w:rPr>
          <w:rFonts w:ascii="Calibri" w:hAnsi="Calibri"/>
          <w:b w:val="0"/>
          <w:i/>
          <w:color w:val="556168"/>
          <w:sz w:val="18"/>
        </w:rPr>
        <w:t>Transmits the award/outcome and closes the file.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Parties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Outcome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award / settlement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closure</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Result: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Award rendered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Consent award (settled)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Mediated settlement (MSA)</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Withdrawn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Non-settlement (mediation) / report issued</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Summary (no confidential deliberation disclosed)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Enforcement / next steps</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Agreement to Mediate &amp; Confidentiality (Commercial)</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F-C18</w:t>
            </w:r>
          </w:p>
        </w:tc>
      </w:tr>
    </w:tbl>
    <w:p>
      <w:pPr>
        <w:spacing w:after="80"/>
      </w:pPr>
      <w:r>
        <w:rPr>
          <w:rFonts w:ascii="Calibri" w:hAnsi="Calibri"/>
          <w:b w:val="0"/>
          <w:i/>
          <w:color w:val="556168"/>
          <w:sz w:val="18"/>
        </w:rPr>
        <w:t>Signed before the first mediation session.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2</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Mediator</w:t>
            </w:r>
          </w:p>
        </w:tc>
        <w:tc>
          <w:tcPr>
            <w:tcW w:type="dxa" w:w="6273"/>
            <w:tcMar>
              <w:top w:w="60" w:type="dxa"/>
              <w:bottom w:w="60" w:type="dxa"/>
              <w:start w:w="110" w:type="dxa"/>
              <w:end w:w="110" w:type="dxa"/>
            </w:tcMar>
          </w:tcPr>
          <w:p>
            <w:pPr>
              <w:spacing w:after="0"/>
            </w:pPr>
          </w:p>
        </w:tc>
      </w:tr>
    </w:tbl>
    <w:p>
      <w:pPr>
        <w:spacing w:after="40"/>
      </w:pPr>
    </w:p>
    <w:p>
      <w:pPr>
        <w:spacing w:after="80"/>
        <w:jc w:val="both"/>
      </w:pPr>
      <w:r>
        <w:rPr>
          <w:rFonts w:ascii="Calibri" w:hAnsi="Calibri"/>
          <w:b/>
          <w:i w:val="0"/>
          <w:color w:val="1B2A32"/>
          <w:sz w:val="19"/>
        </w:rPr>
        <w:t>1.</w:t>
      </w:r>
      <w:r>
        <w:rPr>
          <w:rFonts w:ascii="Calibri" w:hAnsi="Calibri"/>
          <w:b w:val="0"/>
          <w:i w:val="0"/>
          <w:color w:val="1B2A32"/>
          <w:sz w:val="19"/>
        </w:rPr>
        <w:t xml:space="preserve"> The parties appoint the mediator, through Equator as MSP, to mediate the commercial dispute under the Mediation Act, 2023.</w:t>
      </w:r>
    </w:p>
    <w:p>
      <w:pPr>
        <w:spacing w:after="80"/>
        <w:jc w:val="both"/>
      </w:pPr>
      <w:r>
        <w:rPr>
          <w:rFonts w:ascii="Calibri" w:hAnsi="Calibri"/>
          <w:b/>
          <w:i w:val="0"/>
          <w:color w:val="1B2A32"/>
          <w:sz w:val="19"/>
        </w:rPr>
        <w:t>2.</w:t>
      </w:r>
      <w:r>
        <w:rPr>
          <w:rFonts w:ascii="Calibri" w:hAnsi="Calibri"/>
          <w:b w:val="0"/>
          <w:i w:val="0"/>
          <w:color w:val="1B2A32"/>
          <w:sz w:val="19"/>
        </w:rPr>
        <w:t xml:space="preserve"> Participation is voluntary; either party or the mediator may terminate at any time.</w:t>
      </w:r>
    </w:p>
    <w:p>
      <w:pPr>
        <w:spacing w:after="80"/>
        <w:jc w:val="both"/>
      </w:pPr>
      <w:r>
        <w:rPr>
          <w:rFonts w:ascii="Calibri" w:hAnsi="Calibri"/>
          <w:b/>
          <w:i w:val="0"/>
          <w:color w:val="1B2A32"/>
          <w:sz w:val="19"/>
        </w:rPr>
        <w:t>3.</w:t>
      </w:r>
      <w:r>
        <w:rPr>
          <w:rFonts w:ascii="Calibri" w:hAnsi="Calibri"/>
          <w:b w:val="0"/>
          <w:i w:val="0"/>
          <w:color w:val="1B2A32"/>
          <w:sz w:val="19"/>
        </w:rPr>
        <w:t xml:space="preserve"> All communications are confidential and without prejudice and shall not be used in any court or arbitration, save as the law requires.</w:t>
      </w:r>
    </w:p>
    <w:p>
      <w:pPr>
        <w:spacing w:after="80"/>
        <w:jc w:val="both"/>
      </w:pPr>
      <w:r>
        <w:rPr>
          <w:rFonts w:ascii="Calibri" w:hAnsi="Calibri"/>
          <w:b/>
          <w:i w:val="0"/>
          <w:color w:val="1B2A32"/>
          <w:sz w:val="19"/>
        </w:rPr>
        <w:t>4.</w:t>
      </w:r>
      <w:r>
        <w:rPr>
          <w:rFonts w:ascii="Calibri" w:hAnsi="Calibri"/>
          <w:b w:val="0"/>
          <w:i w:val="0"/>
          <w:color w:val="1B2A32"/>
          <w:sz w:val="19"/>
        </w:rPr>
        <w:t xml:space="preserve"> The mediator is neutral, gives no legal advice, and does not decide the dispute.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agree to the terms above and will participate in good faith.</w:t>
      </w:r>
    </w:p>
    <w:p>
      <w:pPr>
        <w:spacing w:after="40"/>
        <w:jc w:val="both"/>
      </w:pPr>
      <w:r>
        <w:rPr>
          <w:rFonts w:ascii="Calibri" w:hAnsi="Calibri"/>
          <w:b w:val="0"/>
          <w:i w:val="0"/>
          <w:color w:val="1B2A32"/>
          <w:sz w:val="18"/>
        </w:rPr>
        <w:t xml:space="preserve">☐  </w:t>
      </w:r>
      <w:r>
        <w:rPr>
          <w:rFonts w:ascii="Calibri" w:hAnsi="Calibri"/>
          <w:b w:val="0"/>
          <w:i w:val="0"/>
          <w:color w:val="1B2A32"/>
          <w:sz w:val="18"/>
        </w:rPr>
        <w:t>We understand a signed, registered MSA is enforceable as a decree.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Costs &amp; Fee Statement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F-C19</w:t>
            </w:r>
          </w:p>
        </w:tc>
      </w:tr>
    </w:tbl>
    <w:p>
      <w:pPr>
        <w:spacing w:after="80"/>
      </w:pPr>
      <w:r>
        <w:rPr>
          <w:rFonts w:ascii="Calibri" w:hAnsi="Calibri"/>
          <w:b w:val="0"/>
          <w:i/>
          <w:color w:val="556168"/>
          <w:sz w:val="18"/>
        </w:rPr>
        <w:t>Records fees and costs payable.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Invoice / statement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PARTICULARS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7"/>
              </w:rPr>
              <w:t>Particulars</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Basis</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Amount (₹)</w:t>
            </w:r>
          </w:p>
        </w:tc>
      </w:tr>
      <w:tr>
        <w:tc>
          <w:tcPr>
            <w:tcW w:type="dxa" w:w="4372"/>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4372"/>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r>
        <w:tc>
          <w:tcPr>
            <w:tcW w:type="dxa" w:w="4372"/>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4372"/>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r>
        <w:tc>
          <w:tcPr>
            <w:tcW w:type="dxa" w:w="4372"/>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Administration fee (ad valorem)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 fee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 misc.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Taxes (GST)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Arbitrator fees may follow the Fourth Schedule to the Arbitration Act or the Equator schedule; see the fee calculator.</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Authorised signatory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Model Arbitration &amp; ADR Clause (for contracts)</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F-C20</w:t>
            </w:r>
          </w:p>
        </w:tc>
      </w:tr>
    </w:tbl>
    <w:p>
      <w:pPr>
        <w:spacing w:after="80"/>
      </w:pPr>
      <w:r>
        <w:rPr>
          <w:rFonts w:ascii="Calibri" w:hAnsi="Calibri"/>
          <w:b w:val="0"/>
          <w:i/>
          <w:color w:val="556168"/>
          <w:sz w:val="18"/>
        </w:rPr>
        <w:t>Drop-in clause to name Equator in your commercial contracts (see Annexure E for variants).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RECOMMENDED CLAUSE</w:t>
            </w:r>
          </w:p>
        </w:tc>
      </w:tr>
    </w:tbl>
    <w:p>
      <w:pPr>
        <w:spacing w:after="20"/>
      </w:pPr>
    </w:p>
    <w:p>
      <w:pPr>
        <w:spacing w:after="80"/>
        <w:jc w:val="both"/>
      </w:pPr>
      <w:r>
        <w:rPr>
          <w:rFonts w:ascii="Calibri" w:hAnsi="Calibri"/>
          <w:b w:val="0"/>
          <w:i w:val="0"/>
          <w:color w:val="1B2A32"/>
          <w:sz w:val="19"/>
        </w:rPr>
        <w:t>“Any dispute arising out of or in connection with this contract, including its existence, validity or termination, shall be referred to and finally resolved by arbitration administered by Equator Resolution under the Equator Rules of Arbitration, which Rules are deemed incorporated. The seat shall be [city], the language [English], and the tribunal shall consist of [a sole arbitrator / three arbitrators]. The parties shall first attempt mediation under the Equator Mediation Rules. The governing law is [Indian law].”</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COMPLETE THE VARIABLES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Seat / venue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Language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Number of arbitrators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Governing law</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Tiered (med-arb)?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Confirm arbitrability and seat with counsel. For MSME supplies, the statutory s.18 route remains available regardless of this clause.</w:t>
            </w:r>
          </w:p>
        </w:tc>
      </w:tr>
    </w:tbl>
    <w:p>
      <w:pPr>
        <w:spacing w:after="40"/>
      </w:pPr>
    </w:p>
    <w:sectPr w:rsidR="00FC693F" w:rsidRPr="0006063C" w:rsidSect="00034616">
      <w:headerReference w:type="default" r:id="rId19"/>
      <w:footerReference w:type="default" r:id="rId20"/>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Commercial &amp; Business Dispute Resolution —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614F2E-620A-4776-BF4D-F2F8308EC3BA}"/>
</file>

<file path=customXml/itemProps3.xml><?xml version="1.0" encoding="utf-8"?>
<ds:datastoreItem xmlns:ds="http://schemas.openxmlformats.org/officeDocument/2006/customXml" ds:itemID="{8C187BC1-A465-44AA-9F24-31002532B82F}"/>
</file>

<file path=customXml/itemProps4.xml><?xml version="1.0" encoding="utf-8"?>
<ds:datastoreItem xmlns:ds="http://schemas.openxmlformats.org/officeDocument/2006/customXml" ds:itemID="{95E36220-3E0A-4E61-AAF2-BD459DE8429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