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F-C04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Commercial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Request for Mediation / s.12A Pre-Institution Mediation Application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Commences commercial mediation — voluntary, or the mandatory pre-institution route (Commercial Courts Act, s.12A).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PARTIES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Party name (entity / individual)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Type (Pvt Ltd / LLP / Partnership / Proprietor / Individual)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CIN / LLPIN / Registration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GSTIN / PAN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Registered / principal address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Authorised signatory &amp; designation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Authority (board resolution / PoA reference)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Contact person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Mobile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Email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Counsel / representative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THE DISPUTE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Route: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Voluntary commercial mediation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Mandatory pre-institution mediation (s.12A) before a commercial suit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Dispute type(s):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Breach of contract / damages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Payment &amp; recovery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Supply / vendor / procurement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Distribution / franchise / agency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Shareholder / JV / partnership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Construction &amp; infrastructure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Technology / IT / IP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Real estate &amp; lease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Banking / finance / guarantee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MSME delayed payment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Company oppression / mismanagement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Cross-border / international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Specified value / amount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Is urgent interim relief contemplated?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Brief summary of the dispute &amp; relief sought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OTHER PARTY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Name &amp; contact of the opposite party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authorise Equator to administer the mediation and to notify the other party.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understand an MSA, once signed &amp; registered, is enforceable as a decree (s.27).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Applicant / Counsel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Received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For s.12A: a commercial suit of specified value not contemplating urgent interim relief must attempt this mediation before filing (Patil Automation).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F-C04  ·  Confidential  ·  This form takes legal effect subject to the Arbitration &amp; Conciliation Act, 1996,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39DFAA-EE5B-4CB9-A45A-980CC71747CA}"/>
</file>

<file path=customXml/itemProps3.xml><?xml version="1.0" encoding="utf-8"?>
<ds:datastoreItem xmlns:ds="http://schemas.openxmlformats.org/officeDocument/2006/customXml" ds:itemID="{2B733FF4-B1E1-4404-A4C9-872AE5B24F0F}"/>
</file>

<file path=customXml/itemProps4.xml><?xml version="1.0" encoding="utf-8"?>
<ds:datastoreItem xmlns:ds="http://schemas.openxmlformats.org/officeDocument/2006/customXml" ds:itemID="{FFB3490C-0E0A-492E-8E70-C19A4677CD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