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Nomination &amp; Appointment of Arbitrator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the parties' nomination(s) and Equator's appointment / confirmation of the tribunal.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Sole or three-member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Claimant's nominee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Respondent's nominee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Presiding / sole arbitrator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Method (party / institutional / s.11)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Every appointee must file the Disclosure &amp; Statement of Independence (F-C06) and clear the Fifth &amp; Seventh Schedule checks before confirmation.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Equator (appointing authority)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F-C05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4ECFCB-B5F1-4AD5-AB44-F8D4F16B7FC4}"/>
</file>

<file path=customXml/itemProps3.xml><?xml version="1.0" encoding="utf-8"?>
<ds:datastoreItem xmlns:ds="http://schemas.openxmlformats.org/officeDocument/2006/customXml" ds:itemID="{BAC2210A-445E-4BD4-B134-E0D37A9DCE2A}"/>
</file>

<file path=customXml/itemProps4.xml><?xml version="1.0" encoding="utf-8"?>
<ds:datastoreItem xmlns:ds="http://schemas.openxmlformats.org/officeDocument/2006/customXml" ds:itemID="{975103C2-56A2-46E6-AC0E-A4A8A710E0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