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Arbitrator's Disclosure &amp; Statement of Independence (s.12)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Mandatory disclosure under Section 12 and the Fifth &amp; Seventh Schedules.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Arbitrator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ID / grade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independent and impartial and have no relationship with the parties, counsel or subject-matter that falls within the Seventh Schedule (ineligibility).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disclose below any circumstance under the Fifth Schedule that may give rise to justifiable doubts.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sufficient time to complete the arbitration within the Section 29A timeline.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disclose any such circumstance arising later, without delay.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DISCLOSURES (if any)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Circumstance disclosed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Arbitrator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F-C06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70A97C-F23E-4FD8-B9A0-A0B64AFEFDDB}"/>
</file>

<file path=customXml/itemProps3.xml><?xml version="1.0" encoding="utf-8"?>
<ds:datastoreItem xmlns:ds="http://schemas.openxmlformats.org/officeDocument/2006/customXml" ds:itemID="{EC06C650-B210-479C-9DEF-084757390A1A}"/>
</file>

<file path=customXml/itemProps4.xml><?xml version="1.0" encoding="utf-8"?>
<ds:datastoreItem xmlns:ds="http://schemas.openxmlformats.org/officeDocument/2006/customXml" ds:itemID="{BBC3F142-6EA8-48E5-80D4-3DCE8A2711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