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F-C07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Commercial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Terms of Reference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Defines the scope of the arbitration — parties, claims, issues, seat, law and procedure.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Tribunal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Seat / venue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Governing law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Language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SUMMARY OF CLAIMS &amp; COUNTERCLAIMS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3264"/>
        <w:gridCol w:w="3264"/>
        <w:gridCol w:w="3264"/>
      </w:tblGrid>
      <w:tr>
        <w:tc>
          <w:tcPr>
            <w:tcW w:type="dxa" w:w="2350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Party</w:t>
            </w:r>
          </w:p>
        </w:tc>
        <w:tc>
          <w:tcPr>
            <w:tcW w:type="dxa" w:w="5484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Claim / counterclaim (summary)</w:t>
            </w:r>
          </w:p>
        </w:tc>
        <w:tc>
          <w:tcPr>
            <w:tcW w:type="dxa" w:w="1958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Amount (₹)</w:t>
            </w:r>
          </w:p>
        </w:tc>
      </w:tr>
      <w:tr>
        <w:tc>
          <w:tcPr>
            <w:tcW w:type="dxa" w:w="2350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5484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95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350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5484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958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2350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5484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95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ISSUES FOR DETERMINATION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979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No.</w:t>
            </w:r>
          </w:p>
        </w:tc>
        <w:tc>
          <w:tcPr>
            <w:tcW w:type="dxa" w:w="8813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Issue</w:t>
            </w:r>
          </w:p>
        </w:tc>
      </w:tr>
      <w:tr>
        <w:tc>
          <w:tcPr>
            <w:tcW w:type="dxa" w:w="979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881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8813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979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881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8813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</w:tbl>
    <w:p>
      <w:pPr>
        <w:spacing w:after="40"/>
      </w:pP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Claimant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Respondent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Tribunal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F-C07  ·  Confidential  ·  This form takes legal effect subject to the Arbitration &amp; Conciliation Act, 1996, the Mediation Act, 2023 and applicable law.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08829E2-3F26-4093-A187-B74AA4202594}"/>
</file>

<file path=customXml/itemProps3.xml><?xml version="1.0" encoding="utf-8"?>
<ds:datastoreItem xmlns:ds="http://schemas.openxmlformats.org/officeDocument/2006/customXml" ds:itemID="{362007FD-2978-4413-8ECC-69064862024A}"/>
</file>

<file path=customXml/itemProps4.xml><?xml version="1.0" encoding="utf-8"?>
<ds:datastoreItem xmlns:ds="http://schemas.openxmlformats.org/officeDocument/2006/customXml" ds:itemID="{3B53512C-C80E-4A99-9805-1FE090DE760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