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Defence &amp; Counterclaim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Respondent's full reply and any counterclaim (s.23).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RESPONSE TO THE CLAIM (para-by-para)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 para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Admit / Deny</w:t>
            </w:r>
          </w:p>
        </w:tc>
        <w:tc>
          <w:tcPr>
            <w:tcW w:type="dxa" w:w="62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RESPONDENT'S CASE / ADDITIONAL FACTS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COUNTERCLAIM &amp; RELIEF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Relief: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Damages / compensation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Debt / price recovery + interest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Specific performance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Injunction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Declaration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Account / audit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Termination / restitution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goods / property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Costs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Escrow-secured payment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Counterclaim — facts &amp; prayer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contents are true to the best of our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 / Counsel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F-C10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5CF0A4-2925-47CB-9377-78EEE6ED88EA}"/>
</file>

<file path=customXml/itemProps3.xml><?xml version="1.0" encoding="utf-8"?>
<ds:datastoreItem xmlns:ds="http://schemas.openxmlformats.org/officeDocument/2006/customXml" ds:itemID="{D644C866-56D5-488E-B5CD-65E891380AB1}"/>
</file>

<file path=customXml/itemProps4.xml><?xml version="1.0" encoding="utf-8"?>
<ds:datastoreItem xmlns:ds="http://schemas.openxmlformats.org/officeDocument/2006/customXml" ds:itemID="{10D490EE-6745-4980-8340-FD3F71249A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