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Application for Interim Measures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urgent relief — from the tribunal (s.17), the court (s.9), or an emergency arbitrator.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Forum (Tribunal s.17 / Court s.9 / Emergency arbitrator)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Interim 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Preserve / secure the amount in dispute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Injunction (restrain / mandatory)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Preserve or detain property / goods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Restrain a call on a guarantee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Appointment of receiver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Grounds — urgency, prima facie case, balance of convenience, irreparable harm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undertake as to damages and to comply with any conditions imposed.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F-C11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61A8C0-161D-4C84-87E0-CAA59A109BED}"/>
</file>

<file path=customXml/itemProps3.xml><?xml version="1.0" encoding="utf-8"?>
<ds:datastoreItem xmlns:ds="http://schemas.openxmlformats.org/officeDocument/2006/customXml" ds:itemID="{703737E7-2656-4A60-A06F-E2C9D7DB6D9B}"/>
</file>

<file path=customXml/itemProps4.xml><?xml version="1.0" encoding="utf-8"?>
<ds:datastoreItem xmlns:ds="http://schemas.openxmlformats.org/officeDocument/2006/customXml" ds:itemID="{0092CF83-919C-42CD-9B71-9061AFD721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