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F-C12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Consent Award / Mediated Settlement Agreement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a settlement — as a consent award (s.30) in arbitration, or an MSA (Mediation Act) in mediation.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&amp; place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1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2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RECITALS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The parties have, of their own free will, settled the dispute described in the case file on the terms below.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AGREED TERMS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1. Amount payable &amp; schedule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2. Interest / costs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3. Performance obligations &amp; timelines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4. Return of goods / property / documents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5. Confidentiality &amp; non-disparagement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6. Escrow (see F-C15)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7. Full &amp; final settlement of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EXECUTION &amp; ENFORCEABILITY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In arbitration, the tribunal records this as an arbitral award on agreed terms (s.30), enforceable as a decree (s.36). In mediation, this MSA is registered (s.20) and enforceable as a decree (s.27).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Stamp duty / e-stamp certificate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Registration / authority &amp; 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 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 (authenticating)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F-C12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F0828-D5FA-4C52-8E33-88A530ECC2CB}"/>
</file>

<file path=customXml/itemProps3.xml><?xml version="1.0" encoding="utf-8"?>
<ds:datastoreItem xmlns:ds="http://schemas.openxmlformats.org/officeDocument/2006/customXml" ds:itemID="{BC4F7226-F6C0-41A8-9B9E-856729B0A382}"/>
</file>

<file path=customXml/itemProps4.xml><?xml version="1.0" encoding="utf-8"?>
<ds:datastoreItem xmlns:ds="http://schemas.openxmlformats.org/officeDocument/2006/customXml" ds:itemID="{CAA2E0EA-B186-4500-B81F-637D19760C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