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F-C15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Commercial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Escrow Instruction &amp; Release Schedule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Secures award/settlement money with a regulated escrow agent, released against conditions.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Payer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Payee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Escrow agent / bank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Total amount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Source of funds (KYC/PMLA verified)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RELEASE SCHEDULE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371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Tranche</w:t>
            </w:r>
          </w:p>
        </w:tc>
        <w:tc>
          <w:tcPr>
            <w:tcW w:type="dxa" w:w="1763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(₹)</w:t>
            </w:r>
          </w:p>
        </w:tc>
        <w:tc>
          <w:tcPr>
            <w:tcW w:type="dxa" w:w="3917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Release trigger / milestone</w:t>
            </w:r>
          </w:p>
        </w:tc>
        <w:tc>
          <w:tcPr>
            <w:tcW w:type="dxa" w:w="274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Evidence required</w:t>
            </w:r>
          </w:p>
        </w:tc>
      </w:tr>
      <w:tr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91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91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91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91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Typical triggers: lapse of the s.34 window without a stay; delivery / handover; completion of a performance step.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Fallback if milestone not met by (date)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Escrow fees &amp; bearer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payer irrevocably deposits the sum to be released only on the stated conditions.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Both parties consent to the escrow agent acting on these instructions, and to KYC/PMLA compliance.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Payer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Payee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Escrow Officer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F-C15  ·  Confidential  ·  This form takes legal effect subject to the Arbitration &amp; Conciliation Act, 1996,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2D69FF-FA54-4AB0-BF4A-0555081EBB03}"/>
</file>

<file path=customXml/itemProps3.xml><?xml version="1.0" encoding="utf-8"?>
<ds:datastoreItem xmlns:ds="http://schemas.openxmlformats.org/officeDocument/2006/customXml" ds:itemID="{830FF089-7BFC-4FA8-BA3C-157DA14315DC}"/>
</file>

<file path=customXml/itemProps4.xml><?xml version="1.0" encoding="utf-8"?>
<ds:datastoreItem xmlns:ds="http://schemas.openxmlformats.org/officeDocument/2006/customXml" ds:itemID="{9AA034DE-99FD-471A-AEA2-E8B3A1A8F3B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