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Enforcement Checklist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Steps to enforce an award or settlement.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Outcome (award / consent award / MSA)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CHECKLIST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Confirm: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s.34 challenge window elapsed / challenge failed (domestic award)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Award signed, stamped &amp; delivered to parties (s.31)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For foreign award: New York Convention documents (s.47) ready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For MSA: registered (s.20)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Stamp duty paid / e-stamped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Certified copy obtained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Enforcement petition prepared (s.36 / Part II)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 release conditions verified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F-C16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5CCC37-5ADE-4860-B40D-608655CEB2F8}"/>
</file>

<file path=customXml/itemProps3.xml><?xml version="1.0" encoding="utf-8"?>
<ds:datastoreItem xmlns:ds="http://schemas.openxmlformats.org/officeDocument/2006/customXml" ds:itemID="{DD1E7771-25DC-486F-9440-0B1F2D357C2E}"/>
</file>

<file path=customXml/itemProps4.xml><?xml version="1.0" encoding="utf-8"?>
<ds:datastoreItem xmlns:ds="http://schemas.openxmlformats.org/officeDocument/2006/customXml" ds:itemID="{7217387F-1C8B-40EB-BC8C-7861F2ECAF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