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F-C19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Costs &amp; Fee Statement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fees and costs payable.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Invoice / statement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in dispute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PARTICULARS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3264"/>
        <w:gridCol w:w="3264"/>
        <w:gridCol w:w="3264"/>
      </w:tblGrid>
      <w:tr>
        <w:tc>
          <w:tcPr>
            <w:tcW w:type="dxa" w:w="450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Particulars</w:t>
            </w:r>
          </w:p>
        </w:tc>
        <w:tc>
          <w:tcPr>
            <w:tcW w:type="dxa" w:w="254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Basis</w:t>
            </w:r>
          </w:p>
        </w:tc>
        <w:tc>
          <w:tcPr>
            <w:tcW w:type="dxa" w:w="274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(₹)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Administration fee (ad valorem)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Neutral fee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/ misc.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Taxes (GST)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Arbitrator fees may follow the Fourth Schedule to the Arbitration Act or the Equator schedule; see the fee calculator.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Authorised signatory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F-C19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FF2CD1-7FB3-4B06-B20D-67D0DC776040}"/>
</file>

<file path=customXml/itemProps3.xml><?xml version="1.0" encoding="utf-8"?>
<ds:datastoreItem xmlns:ds="http://schemas.openxmlformats.org/officeDocument/2006/customXml" ds:itemID="{4BC119D3-2A12-469B-8463-4A20C5E62486}"/>
</file>

<file path=customXml/itemProps4.xml><?xml version="1.0" encoding="utf-8"?>
<ds:datastoreItem xmlns:ds="http://schemas.openxmlformats.org/officeDocument/2006/customXml" ds:itemID="{817C9DCF-76DF-422D-A8C0-AE55F8699C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