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6624"/>
          </w:tcPr>
          <w:p>
            <w:r>
              <w:rPr>
                <w:rFonts w:ascii="Calibri" w:hAnsi="Calibri"/>
                <w:b/>
                <w:i w:val="0"/>
                <w:color w:val="123B4F"/>
                <w:sz w:val="32"/>
              </w:rPr>
              <w:t>EQUATOR RESOLUTION</w:t>
            </w:r>
          </w:p>
          <w:p>
            <w:pPr>
              <w:spacing w:after="0"/>
            </w:pPr>
            <w:r>
              <w:rPr>
                <w:rFonts w:ascii="Calibri" w:hAnsi="Calibri"/>
                <w:b w:val="0"/>
                <w:i/>
                <w:color w:val="1E7A8C"/>
                <w:sz w:val="17"/>
              </w:rPr>
              <w:t>Institutional Mediation &amp; Online Dispute Resolution</w:t>
            </w:r>
          </w:p>
          <w:p>
            <w:pPr>
              <w:spacing w:after="0"/>
            </w:pPr>
            <w:r>
              <w:rPr>
                <w:rFonts w:ascii="Calibri" w:hAnsi="Calibri"/>
                <w:b w:val="0"/>
                <w:i w:val="0"/>
                <w:color w:val="556168"/>
                <w:sz w:val="16"/>
              </w:rPr>
              <w:t>www.equatorresolution.com  ·  An Infrabyx Group Venture</w:t>
            </w:r>
          </w:p>
        </w:tc>
        <w:tc>
          <w:tcPr>
            <w:tcW w:type="dxa" w:w="3168"/>
          </w:tcPr>
          <w:p>
            <w:pPr>
              <w:jc w:val="right"/>
            </w:pPr>
            <w:r>
              <w:rPr>
                <w:rFonts w:ascii="Calibri" w:hAnsi="Calibri"/>
                <w:b/>
                <w:i w:val="0"/>
                <w:color w:val="C6A15B"/>
                <w:sz w:val="22"/>
              </w:rPr>
              <w:t>Form F-C20</w:t>
            </w:r>
          </w:p>
          <w:p>
            <w:pPr>
              <w:spacing w:after="0"/>
              <w:jc w:val="right"/>
            </w:pPr>
            <w:r>
              <w:rPr>
                <w:rFonts w:ascii="Calibri" w:hAnsi="Calibri"/>
                <w:b w:val="0"/>
                <w:i w:val="0"/>
                <w:color w:val="556168"/>
                <w:sz w:val="16"/>
              </w:rPr>
              <w:t>Commercial Vertical</w:t>
            </w:r>
          </w:p>
          <w:p>
            <w:pPr>
              <w:spacing w:after="0"/>
              <w:jc w:val="right"/>
            </w:pPr>
            <w:r>
              <w:rPr>
                <w:rFonts w:ascii="Calibri" w:hAnsi="Calibri"/>
                <w:b w:val="0"/>
                <w:i w:val="0"/>
                <w:color w:val="556168"/>
                <w:sz w:val="16"/>
              </w:rPr>
              <w:t>Confidential</w:t>
            </w:r>
          </w:p>
        </w:tc>
      </w:tr>
    </w:tbl>
    <w:p>
      <w:pPr>
        <w:spacing w:after="120"/>
        <w:pBdr>
          <w:bottom w:val="single" w:sz="14" w:space="1" w:color="C6A15B"/>
        </w:pBdr>
      </w:pPr>
    </w:p>
    <w:p>
      <w:pPr>
        <w:spacing w:after="40"/>
      </w:pPr>
      <w:r>
        <w:rPr>
          <w:rFonts w:ascii="Calibri" w:hAnsi="Calibri"/>
          <w:b/>
          <w:i w:val="0"/>
          <w:color w:val="123B4F"/>
          <w:sz w:val="30"/>
        </w:rPr>
        <w:t>Model Arbitration &amp; ADR Clause (for contracts)</w:t>
      </w:r>
    </w:p>
    <w:p>
      <w:pPr>
        <w:spacing w:after="120"/>
      </w:pPr>
      <w:r>
        <w:rPr>
          <w:rFonts w:ascii="Calibri" w:hAnsi="Calibri"/>
          <w:b w:val="0"/>
          <w:i/>
          <w:color w:val="556168"/>
          <w:sz w:val="19"/>
        </w:rPr>
        <w:t>Drop-in clause to name Equator in your commercial contracts (see Annexure E for variants).</w:t>
      </w: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RECOMMENDED CLAUSE</w:t>
            </w:r>
          </w:p>
        </w:tc>
      </w:tr>
    </w:tbl>
    <w:p>
      <w:pPr>
        <w:spacing w:after="20"/>
      </w:pPr>
    </w:p>
    <w:p>
      <w:pPr>
        <w:spacing w:after="100"/>
        <w:jc w:val="both"/>
      </w:pPr>
      <w:r>
        <w:rPr>
          <w:rFonts w:ascii="Calibri" w:hAnsi="Calibri"/>
          <w:b w:val="0"/>
          <w:i w:val="0"/>
          <w:color w:val="1B2A32"/>
          <w:sz w:val="19"/>
        </w:rPr>
        <w:t>“Any dispute arising out of or in connection with this contract, including its existence, validity or termination, shall be referred to and finally resolved by arbitration administered by Equator Resolution under the Equator Rules of Arbitration, which Rules are deemed incorporated. The seat shall be [city], the language [English], and the tribunal shall consist of [a sole arbitrator / three arbitrators]. The parties shall first attempt mediation under the Equator Mediation Rules. The governing law is [Indian law].”</w:t>
      </w:r>
    </w:p>
    <w:tbl>
      <w:tblPr>
        <w:tblW w:type="auto" w:w="0"/>
        <w:tblLayout w:type="fixed"/>
        <w:tblLook w:firstColumn="1" w:firstRow="1" w:lastColumn="0" w:lastRow="0" w:noHBand="0" w:noVBand="1" w:val="04A0"/>
      </w:tblPr>
      <w:tblGrid>
        <w:gridCol w:w="9792"/>
      </w:tblGrid>
      <w:tr>
        <w:tc>
          <w:tcPr>
            <w:tcW w:type="dxa" w:w="9792"/>
            <w:shd w:val="clear" w:color="auto" w:fill="123B4F"/>
            <w:tcMar>
              <w:top w:w="40" w:type="dxa"/>
              <w:bottom w:w="40" w:type="dxa"/>
              <w:start w:w="120" w:type="dxa"/>
              <w:end w:w="120" w:type="dxa"/>
            </w:tcMar>
          </w:tcPr>
          <w:p>
            <w:pPr>
              <w:spacing w:after="0"/>
            </w:pPr>
            <w:r>
              <w:rPr>
                <w:rFonts w:ascii="Calibri" w:hAnsi="Calibri"/>
                <w:b/>
                <w:i w:val="0"/>
                <w:color w:val="FFFFFF"/>
                <w:sz w:val="21"/>
              </w:rPr>
              <w:t>COMPLETE THE VARIABLES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896"/>
        <w:gridCol w:w="4896"/>
      </w:tblGrid>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Seat / venue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Language</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Number of arbitrators</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Governing law</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r>
        <w:tc>
          <w:tcPr>
            <w:tcW w:type="dxa" w:w="3329"/>
            <w:shd w:val="clear" w:color="auto" w:fill="E4EEF1"/>
            <w:tcMar>
              <w:top w:w="50" w:type="dxa"/>
              <w:bottom w:w="50" w:type="dxa"/>
              <w:start w:w="100" w:type="dxa"/>
              <w:end w:w="100" w:type="dxa"/>
            </w:tcMar>
          </w:tcPr>
          <w:p>
            <w:pPr>
              <w:spacing w:after="0"/>
            </w:pPr>
            <w:r>
              <w:rPr>
                <w:rFonts w:ascii="Calibri" w:hAnsi="Calibri"/>
                <w:b/>
                <w:i w:val="0"/>
                <w:color w:val="123B4F"/>
                <w:sz w:val="18"/>
              </w:rPr>
              <w:t>Tiered (med-arb)? (Y/N)</w:t>
            </w:r>
          </w:p>
        </w:tc>
        <w:tc>
          <w:tcPr>
            <w:tcW w:type="dxa" w:w="6463"/>
            <w:tcMar>
              <w:top w:w="50" w:type="dxa"/>
              <w:bottom w:w="50" w:type="dxa"/>
              <w:start w:w="100" w:type="dxa"/>
              <w:end w:w="100" w:type="dxa"/>
            </w:tcMar>
          </w:tcPr>
          <w:p>
            <w:pPr>
              <w:spacing w:after="0"/>
            </w:pPr>
            <w:r>
              <w:rPr>
                <w:rFonts w:ascii="Calibri" w:hAnsi="Calibri"/>
                <w:b w:val="0"/>
                <w:i w:val="0"/>
                <w:color w:val="1B2A32"/>
                <w:sz w:val="18"/>
              </w:rPr>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792"/>
      </w:tblGrid>
      <w:tr>
        <w:tc>
          <w:tcPr>
            <w:tcW w:type="dxa" w:w="9792"/>
            <w:shd w:val="clear" w:color="auto" w:fill="F5ECD6"/>
            <w:tcMar>
              <w:top w:w="70" w:type="dxa"/>
              <w:bottom w:w="70" w:type="dxa"/>
              <w:start w:w="120" w:type="dxa"/>
              <w:end w:w="120" w:type="dxa"/>
            </w:tcMar>
          </w:tcPr>
          <w:p>
            <w:pPr>
              <w:spacing w:after="0"/>
            </w:pPr>
            <w:r>
              <w:rPr>
                <w:rFonts w:ascii="Calibri" w:hAnsi="Calibri"/>
                <w:b w:val="0"/>
                <w:i w:val="0"/>
                <w:color w:val="1B2A32"/>
                <w:sz w:val="17"/>
              </w:rPr>
              <w:t>Confirm arbitrability and seat with counsel. For MSME supplies, the statutory s.18 route remains available regardless of this clause.</w:t>
            </w:r>
          </w:p>
        </w:tc>
      </w:tr>
    </w:tbl>
    <w:p>
      <w:pPr>
        <w:spacing w:after="40"/>
      </w:pP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5"/>
      </w:rPr>
      <w:t>Equator Resolution  ·  Form F-C20  ·  Confidential  ·  This form takes legal effect subject to the Arbitration &amp; Conciliation Act, 1996, the Mediation Act, 2023 and applicable law.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B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8A06DF-76B6-4ABF-AAA5-5567B303B8DC}"/>
</file>

<file path=customXml/itemProps3.xml><?xml version="1.0" encoding="utf-8"?>
<ds:datastoreItem xmlns:ds="http://schemas.openxmlformats.org/officeDocument/2006/customXml" ds:itemID="{6F1167CD-387D-42B3-ABE1-2B29D351FDA5}"/>
</file>

<file path=customXml/itemProps4.xml><?xml version="1.0" encoding="utf-8"?>
<ds:datastoreItem xmlns:ds="http://schemas.openxmlformats.org/officeDocument/2006/customXml" ds:itemID="{AF59003A-A5A1-4DC8-908C-7D22C48A821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