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i w:val="0"/>
          <w:color w:val="123B4F"/>
          <w:sz w:val="30"/>
        </w:rPr>
        <w:t>EQUATOR RESOLUTION</w:t>
      </w:r>
    </w:p>
    <w:p>
      <w:pPr>
        <w:spacing w:after="40"/>
        <w:jc w:val="center"/>
      </w:pPr>
      <w:r>
        <w:rPr>
          <w:rFonts w:ascii="Calibri" w:hAnsi="Calibri"/>
          <w:b w:val="0"/>
          <w:i/>
          <w:color w:val="1E7A8C"/>
          <w:sz w:val="19"/>
        </w:rPr>
        <w:t>Institutional Arbitration &amp; Mediation</w:t>
      </w:r>
    </w:p>
    <w:p>
      <w:pPr>
        <w:pBdr>
          <w:bottom w:val="single" w:sz="14" w:space="1" w:color="C6A15B"/>
        </w:pBdr>
      </w:pPr>
    </w:p>
    <w:p>
      <w:pPr>
        <w:spacing w:before="200"/>
        <w:jc w:val="center"/>
      </w:pPr>
      <w:r>
        <w:rPr>
          <w:rFonts w:ascii="Calibri" w:hAnsi="Calibri"/>
          <w:b/>
          <w:i w:val="0"/>
          <w:color w:val="123B4F"/>
          <w:sz w:val="44"/>
        </w:rPr>
        <w:t>Neutral Toolkit &amp; SOP Runbooks</w:t>
      </w:r>
    </w:p>
    <w:p>
      <w:pPr>
        <w:jc w:val="center"/>
      </w:pPr>
      <w:r>
        <w:rPr>
          <w:rFonts w:ascii="Calibri" w:hAnsi="Calibri"/>
          <w:b w:val="0"/>
          <w:i w:val="0"/>
          <w:color w:val="556168"/>
          <w:sz w:val="22"/>
        </w:rPr>
        <w:t>Commercial vertical — for arbitrators, mediators, case managers &amp; tribunal secretaries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This toolkit equips Equator's neutrals and staff to run commercial arbitrations and mediations consistently, within the statutory timelines, and to a standard the Arbitration Council of India will grade. Part 1 is the arbitrator's toolkit; Part 2 the mediator's toolkit; Part 3 the case-manager &amp; tribunal-secretary runbooks; Part 4 ethics scenarios; Part 5 checklists.</w:t>
      </w: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4"/>
        </w:rPr>
        <w:t>Part 1 — The Arbitrator's Toolkit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1E7A8C"/>
          <w:sz w:val="26"/>
        </w:rPr>
        <w:t>1.1 First procedural hearing — opening</w:t>
      </w:r>
    </w:p>
    <w:p>
      <w:pPr>
        <w:spacing w:after="100"/>
        <w:ind w:left="360"/>
      </w:pPr>
      <w:r>
        <w:rPr>
          <w:rFonts w:ascii="Calibri" w:hAnsi="Calibri"/>
          <w:b w:val="0"/>
          <w:i/>
          <w:color w:val="1B2A32"/>
          <w:sz w:val="21"/>
        </w:rPr>
        <w:t>“Good morning. I am [name], appointed as [sole arbitrator / presiding arbitrator] through Equator Resolution. I am independent and impartial and have made my disclosures under Section 12. Today we will settle the Terms of Reference and a procedural timetable so we can deliver a reasoned award within the statutory period.”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1E7A8C"/>
          <w:sz w:val="26"/>
        </w:rPr>
        <w:t>1.2 Terms of Reference &amp; Procedural Order No. 1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Identify the parties, the arbitration agreement, the seat, the language and the governing law.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 xml:space="preserve">Record the claims, counterclaims and the amount in dispute; frame the </w:t>
      </w:r>
      <w:r>
        <w:rPr>
          <w:rFonts w:ascii="Calibri" w:hAnsi="Calibri"/>
          <w:b/>
          <w:i w:val="0"/>
          <w:color w:val="1B2A32"/>
          <w:sz w:val="21"/>
        </w:rPr>
        <w:t>issues for determination</w:t>
      </w:r>
      <w:r>
        <w:rPr>
          <w:rFonts w:ascii="Calibri" w:hAnsi="Calibri"/>
          <w:b w:val="0"/>
          <w:i w:val="0"/>
          <w:color w:val="1B2A32"/>
          <w:sz w:val="21"/>
        </w:rPr>
        <w:t>.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 xml:space="preserve">Fix the timetable so pleadings complete in good time under the </w:t>
      </w:r>
      <w:r>
        <w:rPr>
          <w:rFonts w:ascii="Calibri" w:hAnsi="Calibri"/>
          <w:b/>
          <w:i w:val="0"/>
          <w:color w:val="1B2A32"/>
          <w:sz w:val="21"/>
        </w:rPr>
        <w:t>Section 29A</w:t>
      </w:r>
      <w:r>
        <w:rPr>
          <w:rFonts w:ascii="Calibri" w:hAnsi="Calibri"/>
          <w:b w:val="0"/>
          <w:i w:val="0"/>
          <w:color w:val="1B2A32"/>
          <w:sz w:val="21"/>
        </w:rPr>
        <w:t xml:space="preserve"> clock (award within 12 months, +6 by consent).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Set the document-production protocol, hearing mode (in-person/video/hybrid) and confidentiality directions.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1E7A8C"/>
          <w:sz w:val="26"/>
        </w:rPr>
        <w:t>1.3 Managing the proceeding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Hold parties to the timetable; discourage unnecessary adjournments.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 xml:space="preserve">Deal with </w:t>
      </w:r>
      <w:r>
        <w:rPr>
          <w:rFonts w:ascii="Calibri" w:hAnsi="Calibri"/>
          <w:b/>
          <w:i w:val="0"/>
          <w:color w:val="1B2A32"/>
          <w:sz w:val="21"/>
        </w:rPr>
        <w:t>jurisdiction/arbitrability</w:t>
      </w:r>
      <w:r>
        <w:rPr>
          <w:rFonts w:ascii="Calibri" w:hAnsi="Calibri"/>
          <w:b w:val="0"/>
          <w:i w:val="0"/>
          <w:color w:val="1B2A32"/>
          <w:sz w:val="21"/>
        </w:rPr>
        <w:t xml:space="preserve"> objections early (kompetenz-kompetenz, s.16).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 xml:space="preserve">Grant </w:t>
      </w:r>
      <w:r>
        <w:rPr>
          <w:rFonts w:ascii="Calibri" w:hAnsi="Calibri"/>
          <w:b/>
          <w:i w:val="0"/>
          <w:color w:val="1B2A32"/>
          <w:sz w:val="21"/>
        </w:rPr>
        <w:t>interim measures</w:t>
      </w:r>
      <w:r>
        <w:rPr>
          <w:rFonts w:ascii="Calibri" w:hAnsi="Calibri"/>
          <w:b w:val="0"/>
          <w:i w:val="0"/>
          <w:color w:val="1B2A32"/>
          <w:sz w:val="21"/>
        </w:rPr>
        <w:t xml:space="preserve"> under s.17 where the tests are met; coordinate with any s.9 court application.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 xml:space="preserve">Consider the </w:t>
      </w:r>
      <w:r>
        <w:rPr>
          <w:rFonts w:ascii="Calibri" w:hAnsi="Calibri"/>
          <w:b/>
          <w:i w:val="0"/>
          <w:color w:val="1B2A32"/>
          <w:sz w:val="21"/>
        </w:rPr>
        <w:t>expedited/documents-only</w:t>
      </w:r>
      <w:r>
        <w:rPr>
          <w:rFonts w:ascii="Calibri" w:hAnsi="Calibri"/>
          <w:b w:val="0"/>
          <w:i w:val="0"/>
          <w:color w:val="1B2A32"/>
          <w:sz w:val="21"/>
        </w:rPr>
        <w:t xml:space="preserve"> procedure for lower-value or straightforward matters.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 xml:space="preserve">Encourage settlement; if the parties settle, record a </w:t>
      </w:r>
      <w:r>
        <w:rPr>
          <w:rFonts w:ascii="Calibri" w:hAnsi="Calibri"/>
          <w:b/>
          <w:i w:val="0"/>
          <w:color w:val="1B2A32"/>
          <w:sz w:val="21"/>
        </w:rPr>
        <w:t>consent award</w:t>
      </w:r>
      <w:r>
        <w:rPr>
          <w:rFonts w:ascii="Calibri" w:hAnsi="Calibri"/>
          <w:b w:val="0"/>
          <w:i w:val="0"/>
          <w:color w:val="1B2A32"/>
          <w:sz w:val="21"/>
        </w:rPr>
        <w:t xml:space="preserve"> (s.30).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1E7A8C"/>
          <w:sz w:val="26"/>
        </w:rPr>
        <w:t>1.4 The award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 xml:space="preserve">Write a </w:t>
      </w:r>
      <w:r>
        <w:rPr>
          <w:rFonts w:ascii="Calibri" w:hAnsi="Calibri"/>
          <w:b/>
          <w:i w:val="0"/>
          <w:color w:val="1B2A32"/>
          <w:sz w:val="21"/>
        </w:rPr>
        <w:t>reasoned</w:t>
      </w:r>
      <w:r>
        <w:rPr>
          <w:rFonts w:ascii="Calibri" w:hAnsi="Calibri"/>
          <w:b w:val="0"/>
          <w:i w:val="0"/>
          <w:color w:val="1B2A32"/>
          <w:sz w:val="21"/>
        </w:rPr>
        <w:t xml:space="preserve"> award (s.31): recite the agreement and procedure; set out the issues, the evidence and the findings; deal with interest and costs; and give clear, enforceable operative directions. Keep within the s.29A period; sign and date; state the seat. Avoid grounds that invite a s.34 challenge (natural justice, excess of jurisdiction, patent illegality).</w:t>
      </w: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4"/>
        </w:rPr>
        <w:t>Part 2 — The Mediator's Toolkit (Commercial)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1E7A8C"/>
          <w:sz w:val="26"/>
        </w:rPr>
        <w:t>2.1 Opening</w:t>
      </w:r>
    </w:p>
    <w:p>
      <w:pPr>
        <w:spacing w:after="100"/>
        <w:ind w:left="360"/>
      </w:pPr>
      <w:r>
        <w:rPr>
          <w:rFonts w:ascii="Calibri" w:hAnsi="Calibri"/>
          <w:b w:val="0"/>
          <w:i/>
          <w:color w:val="1B2A32"/>
          <w:sz w:val="21"/>
        </w:rPr>
        <w:t>“This mediation is voluntary, confidential and without prejudice. I am neutral and will not decide anything or give legal advice. My job is to help you reach a commercial resolution that works for both businesses.”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1E7A8C"/>
          <w:sz w:val="26"/>
        </w:rPr>
        <w:t>2.2 Techniques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 xml:space="preserve">Focus on </w:t>
      </w:r>
      <w:r>
        <w:rPr>
          <w:rFonts w:ascii="Calibri" w:hAnsi="Calibri"/>
          <w:b/>
          <w:i w:val="0"/>
          <w:color w:val="1B2A32"/>
          <w:sz w:val="21"/>
        </w:rPr>
        <w:t>interests</w:t>
      </w:r>
      <w:r>
        <w:rPr>
          <w:rFonts w:ascii="Calibri" w:hAnsi="Calibri"/>
          <w:b w:val="0"/>
          <w:i w:val="0"/>
          <w:color w:val="1B2A32"/>
          <w:sz w:val="21"/>
        </w:rPr>
        <w:t xml:space="preserve"> (cash flow, relationship, certainty) not positions.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 xml:space="preserve">Reality-test against the </w:t>
      </w:r>
      <w:r>
        <w:rPr>
          <w:rFonts w:ascii="Calibri" w:hAnsi="Calibri"/>
          <w:b/>
          <w:i w:val="0"/>
          <w:color w:val="1B2A32"/>
          <w:sz w:val="21"/>
        </w:rPr>
        <w:t>BATNA/WATNA</w:t>
      </w:r>
      <w:r>
        <w:rPr>
          <w:rFonts w:ascii="Calibri" w:hAnsi="Calibri"/>
          <w:b w:val="0"/>
          <w:i w:val="0"/>
          <w:color w:val="1B2A32"/>
          <w:sz w:val="21"/>
        </w:rPr>
        <w:t xml:space="preserve"> — the cost, time and risk of arbitration or court.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Use private caucus to explore numbers and options candidly.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 xml:space="preserve">Bridge gaps with </w:t>
      </w:r>
      <w:r>
        <w:rPr>
          <w:rFonts w:ascii="Calibri" w:hAnsi="Calibri"/>
          <w:b/>
          <w:i w:val="0"/>
          <w:color w:val="1B2A32"/>
          <w:sz w:val="21"/>
        </w:rPr>
        <w:t>structured deals</w:t>
      </w:r>
      <w:r>
        <w:rPr>
          <w:rFonts w:ascii="Calibri" w:hAnsi="Calibri"/>
          <w:b w:val="0"/>
          <w:i w:val="0"/>
          <w:color w:val="1B2A32"/>
          <w:sz w:val="21"/>
        </w:rPr>
        <w:t xml:space="preserve"> — instalments, escrow milestones, future business, set-offs.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Where a s.12A matter, keep to the 3-month (+2) window and issue the certificate/report as required.</w:t>
      </w: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4"/>
        </w:rPr>
        <w:t>Part 3 — Case-Manager &amp; Tribunal-Secretary Runbooks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1E7A8C"/>
          <w:sz w:val="26"/>
        </w:rPr>
        <w:t>3.1 Case-manager runbook</w:t>
      </w:r>
    </w:p>
    <w:p>
      <w:pPr>
        <w:pStyle w:val="ListNumber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Intake:</w:t>
      </w:r>
      <w:r>
        <w:rPr>
          <w:rFonts w:ascii="Calibri" w:hAnsi="Calibri"/>
          <w:b w:val="0"/>
          <w:i w:val="0"/>
          <w:color w:val="1B2A32"/>
          <w:sz w:val="21"/>
        </w:rPr>
        <w:t xml:space="preserve"> verify KYB/KYC &amp; consent; run the arbitrability/mechanism triage; register with a case number.</w:t>
      </w:r>
    </w:p>
    <w:p>
      <w:pPr>
        <w:pStyle w:val="ListNumber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Constitution:</w:t>
      </w:r>
      <w:r>
        <w:rPr>
          <w:rFonts w:ascii="Calibri" w:hAnsi="Calibri"/>
          <w:b w:val="0"/>
          <w:i w:val="0"/>
          <w:color w:val="1B2A32"/>
          <w:sz w:val="21"/>
        </w:rPr>
        <w:t xml:space="preserve"> serve notice; run nominations/appointment; obtain disclosures (F-C06) and clear the Schedules.</w:t>
      </w:r>
    </w:p>
    <w:p>
      <w:pPr>
        <w:pStyle w:val="ListNumber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Setup:</w:t>
      </w:r>
      <w:r>
        <w:rPr>
          <w:rFonts w:ascii="Calibri" w:hAnsi="Calibri"/>
          <w:b w:val="0"/>
          <w:i w:val="0"/>
          <w:color w:val="1B2A32"/>
          <w:sz w:val="21"/>
        </w:rPr>
        <w:t xml:space="preserve"> convene the first procedural hearing; settle ToR (F-C07) &amp; PO-1 (F-C08); set the s.29A clock.</w:t>
      </w:r>
    </w:p>
    <w:p>
      <w:pPr>
        <w:pStyle w:val="ListNumber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Pleadings:</w:t>
      </w:r>
      <w:r>
        <w:rPr>
          <w:rFonts w:ascii="Calibri" w:hAnsi="Calibri"/>
          <w:b w:val="0"/>
          <w:i w:val="0"/>
          <w:color w:val="1B2A32"/>
          <w:sz w:val="21"/>
        </w:rPr>
        <w:t xml:space="preserve"> manage SoC/SoD/counterclaim and evidence per PO-1.</w:t>
      </w:r>
    </w:p>
    <w:p>
      <w:pPr>
        <w:pStyle w:val="ListNumber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Hearings:</w:t>
      </w:r>
      <w:r>
        <w:rPr>
          <w:rFonts w:ascii="Calibri" w:hAnsi="Calibri"/>
          <w:b w:val="0"/>
          <w:i w:val="0"/>
          <w:color w:val="1B2A32"/>
          <w:sz w:val="21"/>
        </w:rPr>
        <w:t xml:space="preserve"> schedule and support; log attendance; manage extensions (F-C13).</w:t>
      </w:r>
    </w:p>
    <w:p>
      <w:pPr>
        <w:pStyle w:val="ListNumber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Outcome:</w:t>
      </w:r>
      <w:r>
        <w:rPr>
          <w:rFonts w:ascii="Calibri" w:hAnsi="Calibri"/>
          <w:b w:val="0"/>
          <w:i w:val="0"/>
          <w:color w:val="1B2A32"/>
          <w:sz w:val="21"/>
        </w:rPr>
        <w:t xml:space="preserve"> support award/consent award/MSA; set up escrow (F-C15); enforcement/registration (F-C16).</w:t>
      </w:r>
    </w:p>
    <w:p>
      <w:pPr>
        <w:pStyle w:val="ListNumber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Closure:</w:t>
      </w:r>
      <w:r>
        <w:rPr>
          <w:rFonts w:ascii="Calibri" w:hAnsi="Calibri"/>
          <w:b w:val="0"/>
          <w:i w:val="0"/>
          <w:color w:val="1B2A32"/>
          <w:sz w:val="21"/>
        </w:rPr>
        <w:t xml:space="preserve"> transmit the award (F-C17); maintain the award repository &amp; audit trail.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1E7A8C"/>
          <w:sz w:val="26"/>
        </w:rPr>
        <w:t>3.2 Tribunal-secretary limits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6E0E4"/>
            <w:tcBorders>
              <w:start w:val="single" w:sz="22" w:space="0" w:color="B23A48"/>
            </w:tcBorders>
          </w:tcPr>
          <w:p>
            <w:r>
              <w:rPr>
                <w:rFonts w:ascii="Calibri" w:hAnsi="Calibri"/>
                <w:b/>
                <w:i w:val="0"/>
                <w:color w:val="B23A48"/>
                <w:sz w:val="18"/>
              </w:rPr>
              <w:t>STRICT LIMIT — the secretary is administrative only</w:t>
            </w:r>
          </w:p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The tribunal secretary organises hearings, documents, logistics and formatting. The secretary must NEVER influence or draft the tribunal's decision or reasoning — excessive delegation is a ground to challenge the award.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1E7A8C"/>
          <w:sz w:val="26"/>
        </w:rPr>
        <w:t>3.3 Escrow officer runbook</w:t>
      </w:r>
    </w:p>
    <w:p>
      <w:pPr>
        <w:pStyle w:val="ListNumber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Confirm the escrow instruction (F-C15), agent bank, amount and source; complete KYC/PMLA.</w:t>
      </w:r>
    </w:p>
    <w:p>
      <w:pPr>
        <w:pStyle w:val="ListNumber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Confirm cleared funds to both parties.</w:t>
      </w:r>
    </w:p>
    <w:p>
      <w:pPr>
        <w:pStyle w:val="ListNumber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Release each tranche only on the milestone (e.g., s.34 window elapsed without stay); receipt and audit-log.</w:t>
      </w:r>
    </w:p>
    <w:p>
      <w:pPr>
        <w:pStyle w:val="ListNumber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Apply the fallback if a milestone lapses.</w:t>
      </w: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4"/>
        </w:rPr>
        <w:t>Part 4 — Ethics in Practice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5ECD6"/>
            <w:tcBorders>
              <w:start w:val="single" w:sz="22" w:space="0" w:color="C6A15B"/>
            </w:tcBorders>
          </w:tcPr>
          <w:p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Disclosure &amp; independence</w:t>
            </w:r>
          </w:p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Disclose anything under the Fifth Schedule; decline/withdraw if within the Seventh Schedule. Continuing disclosure duty throughout.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5ECD6"/>
            <w:tcBorders>
              <w:start w:val="single" w:sz="22" w:space="0" w:color="C6A15B"/>
            </w:tcBorders>
          </w:tcPr>
          <w:p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Confidentiality ring</w:t>
            </w:r>
          </w:p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Keep each party's confidential/commercially sensitive evidence within the ring; never leak across parties or outside the proceeding.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DCEEE4"/>
            <w:tcBorders>
              <w:start w:val="single" w:sz="22" w:space="0" w:color="2E7D5B"/>
            </w:tcBorders>
          </w:tcPr>
          <w:p>
            <w:r>
              <w:rPr>
                <w:rFonts w:ascii="Calibri" w:hAnsi="Calibri"/>
                <w:b/>
                <w:i w:val="0"/>
                <w:color w:val="2E7D5B"/>
                <w:sz w:val="18"/>
              </w:rPr>
              <w:t>No pre-judgment</w:t>
            </w:r>
          </w:p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Keep an open mind until all evidence is in; give both sides a full and equal opportunity (natural justice) — its breach voids the award.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5ECD6"/>
            <w:tcBorders>
              <w:start w:val="single" w:sz="22" w:space="0" w:color="C6A15B"/>
            </w:tcBorders>
          </w:tcPr>
          <w:p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Time &amp; cost discipline</w:t>
            </w:r>
          </w:p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Deliver within s.29A; control costs; avoid unnecessary procedural steps.</w:t>
            </w:r>
          </w:p>
        </w:tc>
      </w:tr>
    </w:tbl>
    <w:p>
      <w:pPr>
        <w:spacing w:after="40"/>
      </w:pP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4"/>
        </w:rPr>
        <w:t>Part 5 — Checklists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1E7A8C"/>
          <w:sz w:val="26"/>
        </w:rPr>
        <w:t>Constitution checklist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Arbitration agreement &amp; arbitrability confirmed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Nominations received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Disclosures signed (F-C06); Schedules cleared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Appointment confirmed; fees agreed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1E7A8C"/>
          <w:sz w:val="26"/>
        </w:rPr>
        <w:t>Pre-award checklist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All issues addressed &amp; evidence considered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Both sides fully heard (natural justice)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Interest &amp; costs dealt with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Within s.29A period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Reasoned, signed, dated; seat stated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1E7A8C"/>
          <w:sz w:val="26"/>
        </w:rPr>
        <w:t>Closure checklist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Award/MSA e-signed &amp; e-stamped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Escrow conditions verified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Enforcement/registration steps done</w:t>
      </w:r>
    </w:p>
    <w:p>
      <w:pPr>
        <w:pStyle w:val="ListBullet"/>
        <w:spacing w:after="6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Repository updated; audit trail complete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1B2A3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9" ma:contentTypeDescription="Create a new document." ma:contentTypeScope="" ma:versionID="d50db782a5ec69b02a0131a0f200a05c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e09d9990d161d2f2733b865e15bb167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dddea4-ca15-4972-99ca-320a89f103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5F5AB18-2E49-42C9-BF19-78220F3B042C}"/>
</file>

<file path=customXml/itemProps3.xml><?xml version="1.0" encoding="utf-8"?>
<ds:datastoreItem xmlns:ds="http://schemas.openxmlformats.org/officeDocument/2006/customXml" ds:itemID="{B19FE561-1DDF-43F9-A9C9-ED150F4E66F4}"/>
</file>

<file path=customXml/itemProps4.xml><?xml version="1.0" encoding="utf-8"?>
<ds:datastoreItem xmlns:ds="http://schemas.openxmlformats.org/officeDocument/2006/customXml" ds:itemID="{924EC96B-AD7E-4C8D-B6AA-C100553358D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