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jpeg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/>
          <w:b/>
          <w:i w:val="0"/>
          <w:color w:val="123B4F"/>
          <w:sz w:val="28"/>
        </w:rPr>
        <w:t>EQUATOR RESOLUTION</w:t>
      </w:r>
    </w:p>
    <w:p>
      <w:pPr>
        <w:spacing w:after="40"/>
        <w:jc w:val="center"/>
      </w:pPr>
      <w:r>
        <w:rPr>
          <w:rFonts w:ascii="Calibri" w:hAnsi="Calibri"/>
          <w:b w:val="0"/>
          <w:i w:val="0"/>
          <w:color w:val="556168"/>
          <w:sz w:val="19"/>
        </w:rPr>
        <w:t>www.equatorresolution.com  ·  Institutional Arbitration &amp; Mediation</w:t>
      </w:r>
    </w:p>
    <w:p>
      <w:pPr>
        <w:pBdr>
          <w:bottom w:val="single" w:sz="14" w:space="1" w:color="C6A15B"/>
        </w:pBdr>
      </w:pPr>
    </w:p>
    <w:p>
      <w:pPr>
        <w:spacing w:before="160"/>
        <w:jc w:val="center"/>
      </w:pPr>
      <w:r>
        <w:rPr>
          <w:rFonts w:ascii="Calibri" w:hAnsi="Calibri"/>
          <w:b/>
          <w:i w:val="0"/>
          <w:color w:val="123B4F"/>
          <w:sz w:val="44"/>
        </w:rPr>
        <w:t>Resolve Commercial Disputes — In Months, Not Years</w:t>
      </w:r>
    </w:p>
    <w:p>
      <w:pPr>
        <w:jc w:val="center"/>
      </w:pPr>
      <w:r>
        <w:rPr>
          <w:rFonts w:ascii="Calibri" w:hAnsi="Calibri"/>
          <w:b w:val="0"/>
          <w:i/>
          <w:color w:val="1E7A8C"/>
          <w:sz w:val="24"/>
        </w:rPr>
        <w:t>A guide for businesses and their counsel</w:t>
      </w:r>
    </w:p>
    <w:p>
      <w:pPr>
        <w:spacing w:after="160"/>
      </w:pPr>
      <w:r>
        <w:rPr>
          <w:rFonts w:ascii="Calibri" w:hAnsi="Calibri"/>
          <w:b w:val="0"/>
          <w:i w:val="0"/>
          <w:color w:val="1B2A32"/>
          <w:sz w:val="23"/>
        </w:rPr>
        <w:t xml:space="preserve">Litigation ties up your capital and your team for years. Equator Resolution is an </w:t>
      </w:r>
      <w:r>
        <w:rPr>
          <w:rFonts w:ascii="Calibri" w:hAnsi="Calibri"/>
          <w:b/>
          <w:i w:val="0"/>
          <w:color w:val="1B2A32"/>
          <w:sz w:val="23"/>
        </w:rPr>
        <w:t>institutional arbitration and mediation centre</w:t>
      </w:r>
      <w:r>
        <w:rPr>
          <w:rFonts w:ascii="Calibri" w:hAnsi="Calibri"/>
          <w:b w:val="0"/>
          <w:i w:val="0"/>
          <w:color w:val="1B2A32"/>
          <w:sz w:val="23"/>
        </w:rPr>
        <w:t xml:space="preserve"> that resolves commercial disputes quickly, confidentially and with a </w:t>
      </w:r>
      <w:r>
        <w:rPr>
          <w:rFonts w:ascii="Calibri" w:hAnsi="Calibri"/>
          <w:b/>
          <w:i w:val="0"/>
          <w:color w:val="1B2A32"/>
          <w:sz w:val="23"/>
        </w:rPr>
        <w:t>binding, enforceable</w:t>
      </w:r>
      <w:r>
        <w:rPr>
          <w:rFonts w:ascii="Calibri" w:hAnsi="Calibri"/>
          <w:b w:val="0"/>
          <w:i w:val="0"/>
          <w:color w:val="1B2A32"/>
          <w:sz w:val="23"/>
        </w:rPr>
        <w:t xml:space="preserve"> outcome — and it runs end-to-end online.</w:t>
      </w:r>
    </w:p>
    <w:p>
      <w:pPr>
        <w:spacing w:before="200" w:after="60"/>
      </w:pPr>
      <w:r>
        <w:rPr>
          <w:rFonts w:ascii="Calibri" w:hAnsi="Calibri"/>
          <w:b/>
          <w:i w:val="0"/>
          <w:color w:val="123B4F"/>
          <w:sz w:val="30"/>
        </w:rPr>
        <w:t>The right mechanism for your dispute</w:t>
      </w:r>
    </w:p>
    <w:p>
      <w:pPr>
        <w:pStyle w:val="ListBullet"/>
        <w:spacing w:after="80"/>
      </w:pPr>
      <w:r>
        <w:rPr>
          <w:rFonts w:ascii="Calibri" w:hAnsi="Calibri"/>
          <w:b w:val="0"/>
          <w:i w:val="0"/>
          <w:color w:val="1B2A32"/>
          <w:sz w:val="23"/>
        </w:rPr>
        <w:t>**Arbitration** — where your contract has an arbitration clause: a private tribunal and a binding award.</w:t>
      </w:r>
    </w:p>
    <w:p>
      <w:pPr>
        <w:pStyle w:val="ListBullet"/>
        <w:spacing w:after="80"/>
      </w:pPr>
      <w:r>
        <w:rPr>
          <w:rFonts w:ascii="Calibri" w:hAnsi="Calibri"/>
          <w:b w:val="0"/>
          <w:i w:val="0"/>
          <w:color w:val="1B2A32"/>
          <w:sz w:val="23"/>
        </w:rPr>
        <w:t>**Mediation** — a fast commercial settlement; voluntary, or the mandatory pre-institution step (s.12A) before a suit.</w:t>
      </w:r>
    </w:p>
    <w:p>
      <w:pPr>
        <w:pStyle w:val="ListBullet"/>
        <w:spacing w:after="80"/>
      </w:pPr>
      <w:r>
        <w:rPr>
          <w:rFonts w:ascii="Calibri" w:hAnsi="Calibri"/>
          <w:b w:val="0"/>
          <w:i w:val="0"/>
          <w:color w:val="1B2A32"/>
          <w:sz w:val="23"/>
        </w:rPr>
        <w:t>**MSME Samadhaan** — for small suppliers chasing delayed payments: conciliation, then arbitration, with statutory interest.</w:t>
      </w:r>
    </w:p>
    <w:p>
      <w:pPr>
        <w:pStyle w:val="ListBullet"/>
        <w:spacing w:after="80"/>
      </w:pPr>
      <w:r>
        <w:rPr>
          <w:rFonts w:ascii="Calibri" w:hAnsi="Calibri"/>
          <w:b w:val="0"/>
          <w:i w:val="0"/>
          <w:color w:val="1B2A32"/>
          <w:sz w:val="23"/>
        </w:rPr>
        <w:t>Not sure? Our **AI Dispute Explorer** recommends the route, checks arbitrability, and drafts your case.</w:t>
      </w:r>
    </w:p>
    <w:p>
      <w:pPr>
        <w:spacing w:before="200" w:after="60"/>
      </w:pPr>
      <w:r>
        <w:rPr>
          <w:rFonts w:ascii="Calibri" w:hAnsi="Calibri"/>
          <w:b/>
          <w:i w:val="0"/>
          <w:color w:val="123B4F"/>
          <w:sz w:val="30"/>
        </w:rPr>
        <w:t>Why businesses choose Equator</w:t>
      </w:r>
    </w:p>
    <w:p>
      <w:pPr>
        <w:pStyle w:val="ListBullet"/>
        <w:spacing w:after="80"/>
      </w:pPr>
      <w:r>
        <w:rPr>
          <w:rFonts w:ascii="Calibri" w:hAnsi="Calibri"/>
          <w:b w:val="0"/>
          <w:i w:val="0"/>
          <w:color w:val="1B2A32"/>
          <w:sz w:val="23"/>
        </w:rPr>
        <w:t>**Binding &amp; enforceable** — awards and settlements enforceable as court decrees; foreign awards under the New York Convention.</w:t>
      </w:r>
    </w:p>
    <w:p>
      <w:pPr>
        <w:pStyle w:val="ListBullet"/>
        <w:spacing w:after="80"/>
      </w:pPr>
      <w:r>
        <w:rPr>
          <w:rFonts w:ascii="Calibri" w:hAnsi="Calibri"/>
          <w:b w:val="0"/>
          <w:i w:val="0"/>
          <w:color w:val="1B2A32"/>
          <w:sz w:val="23"/>
        </w:rPr>
        <w:t>**Time-bound** — an award within 12 months (s.29A); s.12A mediation in 3 months; MSME in ~90 days.</w:t>
      </w:r>
    </w:p>
    <w:p>
      <w:pPr>
        <w:pStyle w:val="ListBullet"/>
        <w:spacing w:after="80"/>
      </w:pPr>
      <w:r>
        <w:rPr>
          <w:rFonts w:ascii="Calibri" w:hAnsi="Calibri"/>
          <w:b w:val="0"/>
          <w:i w:val="0"/>
          <w:color w:val="1B2A32"/>
          <w:sz w:val="23"/>
        </w:rPr>
        <w:t>**Institutional quality** — graded, conflict-checked neutrals; published rules; digital case management.</w:t>
      </w:r>
    </w:p>
    <w:p>
      <w:pPr>
        <w:pStyle w:val="ListBullet"/>
        <w:spacing w:after="80"/>
      </w:pPr>
      <w:r>
        <w:rPr>
          <w:rFonts w:ascii="Calibri" w:hAnsi="Calibri"/>
          <w:b w:val="0"/>
          <w:i w:val="0"/>
          <w:color w:val="1B2A32"/>
          <w:sz w:val="23"/>
        </w:rPr>
        <w:t>**Money secured** — award/settlement sums held in escrow, released on compliance.</w:t>
      </w:r>
    </w:p>
    <w:p>
      <w:pPr>
        <w:pStyle w:val="ListBullet"/>
        <w:spacing w:after="80"/>
      </w:pPr>
      <w:r>
        <w:rPr>
          <w:rFonts w:ascii="Calibri" w:hAnsi="Calibri"/>
          <w:b w:val="0"/>
          <w:i w:val="0"/>
          <w:color w:val="1B2A32"/>
          <w:sz w:val="23"/>
        </w:rPr>
        <w:t>**Confidential** — your disputes stay off the public record.</w:t>
      </w:r>
    </w:p>
    <w:p>
      <w:pPr>
        <w:spacing w:before="200" w:after="60"/>
      </w:pPr>
      <w:r>
        <w:rPr>
          <w:rFonts w:ascii="Calibri" w:hAnsi="Calibri"/>
          <w:b/>
          <w:i w:val="0"/>
          <w:color w:val="123B4F"/>
          <w:sz w:val="30"/>
        </w:rPr>
        <w:t>How it works</w:t>
      </w:r>
    </w:p>
    <w:p>
      <w:pPr>
        <w:spacing w:after="100"/>
      </w:pPr>
      <w:r>
        <w:rPr>
          <w:rFonts w:ascii="Calibri" w:hAnsi="Calibri"/>
          <w:b/>
          <w:i w:val="0"/>
          <w:color w:val="1E7A8C"/>
          <w:sz w:val="24"/>
        </w:rPr>
        <w:t xml:space="preserve">1.  </w:t>
      </w:r>
      <w:r>
        <w:rPr>
          <w:rFonts w:ascii="Calibri" w:hAnsi="Calibri"/>
          <w:b w:val="0"/>
          <w:i w:val="0"/>
          <w:color w:val="1B2A32"/>
          <w:sz w:val="23"/>
        </w:rPr>
        <w:t>**File** your Request for Arbitration or Mediation online (we verify your business).</w:t>
      </w:r>
    </w:p>
    <w:p>
      <w:pPr>
        <w:spacing w:after="100"/>
      </w:pPr>
      <w:r>
        <w:rPr>
          <w:rFonts w:ascii="Calibri" w:hAnsi="Calibri"/>
          <w:b/>
          <w:i w:val="0"/>
          <w:color w:val="1E7A8C"/>
          <w:sz w:val="24"/>
        </w:rPr>
        <w:t xml:space="preserve">2.  </w:t>
      </w:r>
      <w:r>
        <w:rPr>
          <w:rFonts w:ascii="Calibri" w:hAnsi="Calibri"/>
          <w:b w:val="0"/>
          <w:i w:val="0"/>
          <w:color w:val="1B2A32"/>
          <w:sz w:val="23"/>
        </w:rPr>
        <w:t>**Triage** — we confirm the mechanism and whether the dispute is arbitrable.</w:t>
      </w:r>
    </w:p>
    <w:p>
      <w:pPr>
        <w:spacing w:after="100"/>
      </w:pPr>
      <w:r>
        <w:rPr>
          <w:rFonts w:ascii="Calibri" w:hAnsi="Calibri"/>
          <w:b/>
          <w:i w:val="0"/>
          <w:color w:val="1E7A8C"/>
          <w:sz w:val="24"/>
        </w:rPr>
        <w:t xml:space="preserve">3.  </w:t>
      </w:r>
      <w:r>
        <w:rPr>
          <w:rFonts w:ascii="Calibri" w:hAnsi="Calibri"/>
          <w:b w:val="0"/>
          <w:i w:val="0"/>
          <w:color w:val="1B2A32"/>
          <w:sz w:val="23"/>
        </w:rPr>
        <w:t>**Appoint** a conflict-checked tribunal or mediator.</w:t>
      </w:r>
    </w:p>
    <w:p>
      <w:pPr>
        <w:spacing w:after="100"/>
      </w:pPr>
      <w:r>
        <w:rPr>
          <w:rFonts w:ascii="Calibri" w:hAnsi="Calibri"/>
          <w:b/>
          <w:i w:val="0"/>
          <w:color w:val="1E7A8C"/>
          <w:sz w:val="24"/>
        </w:rPr>
        <w:t xml:space="preserve">4.  </w:t>
      </w:r>
      <w:r>
        <w:rPr>
          <w:rFonts w:ascii="Calibri" w:hAnsi="Calibri"/>
          <w:b w:val="0"/>
          <w:i w:val="0"/>
          <w:color w:val="1B2A32"/>
          <w:sz w:val="23"/>
        </w:rPr>
        <w:t>**Resolve** — online hearings within the statutory clock; urgent relief where needed.</w:t>
      </w:r>
    </w:p>
    <w:p>
      <w:pPr>
        <w:spacing w:after="100"/>
      </w:pPr>
      <w:r>
        <w:rPr>
          <w:rFonts w:ascii="Calibri" w:hAnsi="Calibri"/>
          <w:b/>
          <w:i w:val="0"/>
          <w:color w:val="1E7A8C"/>
          <w:sz w:val="24"/>
        </w:rPr>
        <w:t xml:space="preserve">5.  </w:t>
      </w:r>
      <w:r>
        <w:rPr>
          <w:rFonts w:ascii="Calibri" w:hAnsi="Calibri"/>
          <w:b w:val="0"/>
          <w:i w:val="0"/>
          <w:color w:val="1B2A32"/>
          <w:sz w:val="23"/>
        </w:rPr>
        <w:t>**Execute &amp; enforce** — e-signed, e-stamped, enforceable as a decree; escrow releases the money on compliance.</w:t>
      </w:r>
    </w:p>
    <w:p>
      <w:pPr>
        <w:spacing w:before="200" w:after="60"/>
      </w:pPr>
      <w:r>
        <w:rPr>
          <w:rFonts w:ascii="Calibri" w:hAnsi="Calibri"/>
          <w:b/>
          <w:i w:val="0"/>
          <w:color w:val="123B4F"/>
          <w:sz w:val="30"/>
        </w:rPr>
        <w:t>Put Equator in your contracts</w:t>
      </w:r>
    </w:p>
    <w:p>
      <w:pPr>
        <w:spacing w:after="160"/>
      </w:pPr>
      <w:r>
        <w:rPr>
          <w:rFonts w:ascii="Calibri" w:hAnsi="Calibri"/>
          <w:b w:val="0"/>
          <w:i w:val="0"/>
          <w:color w:val="1B2A32"/>
          <w:sz w:val="23"/>
        </w:rPr>
        <w:t xml:space="preserve">Add the </w:t>
      </w:r>
      <w:r>
        <w:rPr>
          <w:rFonts w:ascii="Calibri" w:hAnsi="Calibri"/>
          <w:b/>
          <w:i w:val="0"/>
          <w:color w:val="1B2A32"/>
          <w:sz w:val="23"/>
        </w:rPr>
        <w:t>Equator arbitration/ADR clause</w:t>
      </w:r>
      <w:r>
        <w:rPr>
          <w:rFonts w:ascii="Calibri" w:hAnsi="Calibri"/>
          <w:b w:val="0"/>
          <w:i w:val="0"/>
          <w:color w:val="1B2A32"/>
          <w:sz w:val="23"/>
        </w:rPr>
        <w:t xml:space="preserve"> to your agreements so future disputes are resolved fast, by an institution you trust. Ask us for the model clause and a fee estimate.</w:t>
      </w:r>
    </w:p>
    <w:p>
      <w:r>
        <w:rPr>
          <w:rFonts w:ascii="Calibri" w:hAnsi="Calibri"/>
          <w:b w:val="0"/>
          <w:i w:val="0"/>
          <w:color w:val="1B2A32"/>
          <w:sz w:val="24"/>
        </w:rPr>
        <w:t xml:space="preserve">Start today at </w:t>
      </w:r>
      <w:r>
        <w:rPr>
          <w:rFonts w:ascii="Calibri" w:hAnsi="Calibri"/>
          <w:b/>
          <w:i w:val="0"/>
          <w:color w:val="123B4F"/>
          <w:sz w:val="24"/>
        </w:rPr>
        <w:t>www.equatorresolution.com</w:t>
      </w:r>
    </w:p>
    <w:p>
      <w:pPr>
        <w:spacing w:before="200"/>
      </w:pPr>
      <w:r>
        <w:rPr>
          <w:rFonts w:ascii="Calibri" w:hAnsi="Calibri"/>
          <w:b w:val="0"/>
          <w:i/>
          <w:color w:val="556168"/>
          <w:sz w:val="17"/>
        </w:rPr>
        <w:t>Equator Resolution is a neutral arbitral &amp; mediation institution. This leaflet is general information, not legal advice.</w:t>
      </w:r>
    </w:p>
    <w:sectPr w:rsidR="00FC693F" w:rsidRPr="0006063C" w:rsidSect="00034616"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60" w:line="283" w:lineRule="auto"/>
    </w:pPr>
    <w:rPr>
      <w:rFonts w:ascii="Calibri" w:hAnsi="Calibri"/>
      <w:color w:val="1B2A32"/>
      <w:sz w:val="23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6" Type="http://schemas.openxmlformats.org/officeDocument/2006/relationships/webSettings" Target="webSettings.xml"/><Relationship Id="rId1" Type="http://schemas.openxmlformats.org/officeDocument/2006/relationships/customXml" Target="../customXml/item1.xml"/><Relationship Id="rId11" Type="http://schemas.openxmlformats.org/officeDocument/2006/relationships/customXml" Target="../customXml/item4.xml"/><Relationship Id="rId5" Type="http://schemas.openxmlformats.org/officeDocument/2006/relationships/settings" Target="settings.xml"/><Relationship Id="rId10" Type="http://schemas.openxmlformats.org/officeDocument/2006/relationships/customXml" Target="../customXml/item3.xml"/><Relationship Id="rId4" Type="http://schemas.microsoft.com/office/2007/relationships/stylesWithEffects" Target="stylesWithEffects.xml"/><Relationship Id="rId9" Type="http://schemas.openxmlformats.org/officeDocument/2006/relationships/customXml" Target="../customXml/item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53D5D88ED318E546B0BAD9611B3061C9" ma:contentTypeVersion="9" ma:contentTypeDescription="Create a new document." ma:contentTypeScope="" ma:versionID="d50db782a5ec69b02a0131a0f200a05c">
  <xsd:schema xmlns:xsd="http://www.w3.org/2001/XMLSchema" xmlns:xs="http://www.w3.org/2001/XMLSchema" xmlns:p="http://schemas.microsoft.com/office/2006/metadata/properties" xmlns:ns2="30dddea4-ca15-4972-99ca-320a89f10386" targetNamespace="http://schemas.microsoft.com/office/2006/metadata/properties" ma:root="true" ma:fieldsID="2e09d9990d161d2f2733b865e15bb167" ns2:_="">
    <xsd:import namespace="30dddea4-ca15-4972-99ca-320a89f10386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0dddea4-ca15-4972-99ca-320a89f1038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fieldId="{5cf76f15-5ced-4ddc-b409-7134ff3c332f}" ma:taxonomyMulti="true" ma:sspId="00000000-0000-0000-0000-000000000000" ma:termSetId="00000000-0000-0000-0000-000000000000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30dddea4-ca15-4972-99ca-320a89f10386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881766B5-4157-48CE-A5B6-B019F39681BE}"/>
</file>

<file path=customXml/itemProps3.xml><?xml version="1.0" encoding="utf-8"?>
<ds:datastoreItem xmlns:ds="http://schemas.openxmlformats.org/officeDocument/2006/customXml" ds:itemID="{7762A7A8-7CB7-4499-91FF-E233E8E626F5}"/>
</file>

<file path=customXml/itemProps4.xml><?xml version="1.0" encoding="utf-8"?>
<ds:datastoreItem xmlns:ds="http://schemas.openxmlformats.org/officeDocument/2006/customXml" ds:itemID="{1B31B2BB-30D2-4340-A78E-FC6F038C7370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0x01010053D5D88ED318E546B0BAD9611B3061C9</vt:lpwstr>
  </property>
</Properties>
</file>