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Calibri" w:hAnsi="Calibri"/>
          <w:b/>
          <w:i w:val="0"/>
          <w:color w:val="123B4F"/>
          <w:sz w:val="52"/>
        </w:rPr>
        <w:t>EQUATOR RESOLUTION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1E7A8C"/>
          <w:sz w:val="24"/>
        </w:rPr>
        <w:t>Institutional Arbitration &amp; Mediation</w:t>
      </w:r>
    </w:p>
    <w:p>
      <w:pPr>
        <w:jc w:val="center"/>
        <w:pBdr>
          <w:bottom w:val="single" w:sz="18" w:space="3" w:color="C6A15B"/>
        </w:pBdr>
      </w:pPr>
      <w:r>
        <w:rPr>
          <w:rFonts w:ascii="Calibri" w:hAnsi="Calibri"/>
          <w:b w:val="0"/>
          <w:i w:val="0"/>
          <w:color w:val="556168"/>
          <w:sz w:val="19"/>
        </w:rPr>
        <w:t>www.equatorresolution.com  ·  An Infrabyx Group Venture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123B4F"/>
          <w:sz w:val="52"/>
        </w:rPr>
        <w:t>Equator MSME Conciliation &amp; Arbitration Rules</w:t>
      </w:r>
    </w:p>
    <w:p>
      <w:pPr>
        <w:jc w:val="center"/>
      </w:pPr>
      <w:r>
        <w:rPr>
          <w:rFonts w:ascii="Calibri" w:hAnsi="Calibri"/>
          <w:b w:val="0"/>
          <w:i w:val="0"/>
          <w:color w:val="1E7A8C"/>
          <w:sz w:val="26"/>
        </w:rPr>
        <w:t>For delayed-payment disputes referred under the MSMED Act</w:t>
      </w:r>
    </w:p>
    <w:p>
      <w:pPr>
        <w:spacing w:before="200"/>
        <w:jc w:val="center"/>
      </w:pPr>
      <w:r>
        <w:rPr>
          <w:rFonts w:ascii="Calibri" w:hAnsi="Calibri"/>
          <w:b w:val="0"/>
          <w:i w:val="0"/>
          <w:color w:val="556168"/>
          <w:sz w:val="20"/>
        </w:rPr>
        <w:t>In force from [date] · Version 1.0 · July 2026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19"/>
        </w:rPr>
        <w:t>Under the MSMED Act, 2006 (ss.15-19) read with the Arbitration &amp; Conciliation Act, 1996. As at July 2026.</w:t>
      </w:r>
    </w:p>
    <w:p>
      <w:r>
        <w:br w:type="page"/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1.  Scope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These Rules apply where a Micro or Small Enterprise Facilitation Council refers, or the parties agree to refer to Equator, a delayed-payment dispute under Section 18 of the MSMED Act, 2006.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2.  Reference and Registration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 supplier files an MSME Samadhaan Reference (Form F-C14) with the buyer's details, the invoices, the due date (within 45 days, Section 15) and the interest claimed (Section 16). Equator registers the reference and notifies the buyer.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3.  Conciliation First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Equator first attempts conciliation between the parties. If the parties settle, the settlement is recorded and is binding.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4.  Arbitration on Failure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If conciliation does not succeed, the dispute proceeds to arbitration under the Arbitration &amp; Conciliation Act, 1996 and these Rules (adapted), before a sole arbitrator.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5.  Interest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arbitrator awards the principal together with interest at three times the RBI notified bank rate, compounded with monthly rests, from the due date (Section 16).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6.  Time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proceedings are conducted so as to make the award within 90 days of the reference (Section 18(5)), so far as practicable.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7.  Award, Challenge and Enforcement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award is enforceable as a decree; an application to set it aside by the buyer is not entertained by a court unless 75% of the amount awarded is deposited (Section 19).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8.  Fees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Fees are charged per the Schedule of Fees, with concessional rates for micro and small enterprises.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6"/>
      </w:rPr>
    </w:r>
    <w:r>
      <w:rPr>
        <w:rFonts w:ascii="Calibri" w:hAnsi="Calibri"/>
        <w:b w:val="0"/>
        <w:i w:val="0"/>
        <w:color w:val="556168"/>
        <w:sz w:val="16"/>
      </w:rPr>
      <w:t xml:space="preserve">Confidential — Infrabyx Group  ·  © 2026  ·  Page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PAGE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  <w:r>
      <w:rPr>
        <w:rFonts w:ascii="Calibri" w:hAnsi="Calibri"/>
        <w:b w:val="0"/>
        <w:i w:val="0"/>
        <w:color w:val="556168"/>
        <w:sz w:val="16"/>
      </w:rPr>
      <w:t xml:space="preserve"> of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NUMPAGES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 |  Equator MSME Conciliation &amp; Arbitration Rules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713A05-87BD-4B84-A9B1-5F8D0F851301}"/>
</file>

<file path=customXml/itemProps3.xml><?xml version="1.0" encoding="utf-8"?>
<ds:datastoreItem xmlns:ds="http://schemas.openxmlformats.org/officeDocument/2006/customXml" ds:itemID="{15C30A25-B6F7-4F01-928E-856C6C52174A}"/>
</file>

<file path=customXml/itemProps4.xml><?xml version="1.0" encoding="utf-8"?>
<ds:datastoreItem xmlns:ds="http://schemas.openxmlformats.org/officeDocument/2006/customXml" ds:itemID="{40912EBA-95B5-45DD-816B-1C51FCF800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